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6B4C" w14:textId="77777777" w:rsidR="008336A7" w:rsidRDefault="008336A7" w:rsidP="008336A7">
      <w:pPr>
        <w:tabs>
          <w:tab w:val="left" w:pos="270"/>
        </w:tabs>
        <w:spacing w:after="0"/>
        <w:jc w:val="center"/>
        <w:rPr>
          <w:rStyle w:val="Emphasis"/>
          <w:rFonts w:cs="Arial"/>
          <w:color w:val="2D2D2D"/>
        </w:rPr>
      </w:pPr>
      <w:r w:rsidRPr="008336A7">
        <w:rPr>
          <w:rFonts w:cs="Arial"/>
          <w:b/>
          <w:bCs/>
          <w:color w:val="007DC5"/>
          <w:sz w:val="28"/>
          <w:szCs w:val="24"/>
        </w:rPr>
        <w:t xml:space="preserve">Topcon </w:t>
      </w:r>
      <w:proofErr w:type="spellStart"/>
      <w:r w:rsidRPr="008336A7">
        <w:rPr>
          <w:rFonts w:cs="Arial"/>
          <w:b/>
          <w:bCs/>
          <w:color w:val="007DC5"/>
          <w:sz w:val="28"/>
          <w:szCs w:val="24"/>
        </w:rPr>
        <w:t>continúa</w:t>
      </w:r>
      <w:proofErr w:type="spellEnd"/>
      <w:r w:rsidRPr="008336A7">
        <w:rPr>
          <w:rFonts w:cs="Arial"/>
          <w:b/>
          <w:bCs/>
          <w:color w:val="007DC5"/>
          <w:sz w:val="28"/>
          <w:szCs w:val="24"/>
        </w:rPr>
        <w:t xml:space="preserve"> con </w:t>
      </w:r>
      <w:proofErr w:type="spellStart"/>
      <w:r w:rsidRPr="008336A7">
        <w:rPr>
          <w:rFonts w:cs="Arial"/>
          <w:b/>
          <w:bCs/>
          <w:color w:val="007DC5"/>
          <w:sz w:val="28"/>
          <w:szCs w:val="24"/>
        </w:rPr>
        <w:t>su</w:t>
      </w:r>
      <w:proofErr w:type="spellEnd"/>
      <w:r w:rsidRPr="008336A7">
        <w:rPr>
          <w:rFonts w:cs="Arial"/>
          <w:b/>
          <w:bCs/>
          <w:color w:val="007DC5"/>
          <w:sz w:val="28"/>
          <w:szCs w:val="24"/>
        </w:rPr>
        <w:t xml:space="preserve"> </w:t>
      </w:r>
      <w:proofErr w:type="spellStart"/>
      <w:r w:rsidRPr="008336A7">
        <w:rPr>
          <w:rFonts w:cs="Arial"/>
          <w:b/>
          <w:bCs/>
          <w:color w:val="007DC5"/>
          <w:sz w:val="28"/>
          <w:szCs w:val="24"/>
        </w:rPr>
        <w:t>compromiso</w:t>
      </w:r>
      <w:proofErr w:type="spellEnd"/>
      <w:r w:rsidRPr="008336A7">
        <w:rPr>
          <w:rFonts w:cs="Arial"/>
          <w:b/>
          <w:bCs/>
          <w:color w:val="007DC5"/>
          <w:sz w:val="28"/>
          <w:szCs w:val="24"/>
        </w:rPr>
        <w:t xml:space="preserve"> con Bridges to Prosperity y </w:t>
      </w:r>
      <w:proofErr w:type="spellStart"/>
      <w:r w:rsidRPr="008336A7">
        <w:rPr>
          <w:rFonts w:cs="Arial"/>
          <w:b/>
          <w:bCs/>
          <w:color w:val="007DC5"/>
          <w:sz w:val="28"/>
          <w:szCs w:val="24"/>
        </w:rPr>
        <w:t>dona</w:t>
      </w:r>
      <w:proofErr w:type="spellEnd"/>
      <w:r w:rsidRPr="008336A7">
        <w:rPr>
          <w:rFonts w:cs="Arial"/>
          <w:b/>
          <w:bCs/>
          <w:color w:val="007DC5"/>
          <w:sz w:val="28"/>
          <w:szCs w:val="24"/>
        </w:rPr>
        <w:t> </w:t>
      </w:r>
      <w:proofErr w:type="spellStart"/>
      <w:r w:rsidRPr="008336A7">
        <w:rPr>
          <w:rFonts w:cs="Arial"/>
          <w:b/>
          <w:bCs/>
          <w:color w:val="007DC5"/>
          <w:sz w:val="28"/>
          <w:szCs w:val="24"/>
        </w:rPr>
        <w:t>autoniveles</w:t>
      </w:r>
      <w:proofErr w:type="spellEnd"/>
      <w:r w:rsidRPr="008336A7">
        <w:rPr>
          <w:rStyle w:val="Emphasis"/>
          <w:rFonts w:cs="Arial"/>
          <w:color w:val="2D2D2D"/>
        </w:rPr>
        <w:t xml:space="preserve"> </w:t>
      </w:r>
    </w:p>
    <w:p w14:paraId="720E9A91" w14:textId="77777777" w:rsidR="008336A7" w:rsidRDefault="008336A7" w:rsidP="008336A7">
      <w:pPr>
        <w:tabs>
          <w:tab w:val="left" w:pos="270"/>
        </w:tabs>
        <w:spacing w:after="0"/>
        <w:jc w:val="center"/>
        <w:rPr>
          <w:rStyle w:val="Emphasis"/>
          <w:rFonts w:cs="Arial"/>
          <w:color w:val="2D2D2D"/>
        </w:rPr>
      </w:pPr>
    </w:p>
    <w:p w14:paraId="0C47ABC9" w14:textId="77777777" w:rsidR="008336A7" w:rsidRPr="008336A7" w:rsidRDefault="008336A7" w:rsidP="008336A7">
      <w:pPr>
        <w:tabs>
          <w:tab w:val="left" w:pos="270"/>
        </w:tabs>
        <w:spacing w:after="0"/>
        <w:jc w:val="center"/>
        <w:rPr>
          <w:rStyle w:val="Emphasis"/>
          <w:rFonts w:cs="Arial"/>
          <w:color w:val="2D2D2D"/>
        </w:rPr>
      </w:pPr>
    </w:p>
    <w:p w14:paraId="6D4F96B1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22"/>
          <w:szCs w:val="22"/>
        </w:rPr>
      </w:pPr>
      <w:r w:rsidRPr="008336A7">
        <w:rPr>
          <w:rStyle w:val="Emphasis"/>
          <w:rFonts w:ascii="Arial" w:hAnsi="Arial" w:cs="Arial"/>
          <w:color w:val="2D2D2D"/>
          <w:sz w:val="22"/>
          <w:szCs w:val="22"/>
        </w:rPr>
        <w:t>LIVERMORE, California 19 de mayo de 2022.</w:t>
      </w:r>
      <w:r w:rsidRPr="008336A7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8336A7">
        <w:rPr>
          <w:rFonts w:ascii="Arial" w:hAnsi="Arial" w:cs="Arial"/>
          <w:color w:val="2D2D2D"/>
          <w:sz w:val="22"/>
          <w:szCs w:val="22"/>
        </w:rPr>
        <w:t xml:space="preserve">Para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continuar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sólido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esfuerzo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soporte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,</w:t>
      </w:r>
      <w:r w:rsidRPr="008336A7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8336A7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 Positioning Group</w:t>
        </w:r>
      </w:hyperlink>
      <w:r w:rsidRPr="008336A7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8336A7">
        <w:rPr>
          <w:rFonts w:ascii="Arial" w:hAnsi="Arial" w:cs="Arial"/>
          <w:color w:val="2D2D2D"/>
          <w:sz w:val="22"/>
          <w:szCs w:val="22"/>
        </w:rPr>
        <w:t xml:space="preserve">ha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suministrado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equipos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a</w:t>
      </w:r>
      <w:r w:rsidRPr="008336A7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8" w:tgtFrame="_blank" w:history="1">
        <w:r w:rsidRPr="008336A7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Bridges to Prosperity</w:t>
        </w:r>
      </w:hyperlink>
      <w:r w:rsidRPr="008336A7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8336A7">
        <w:rPr>
          <w:rFonts w:ascii="Arial" w:hAnsi="Arial" w:cs="Arial"/>
          <w:color w:val="2D2D2D"/>
          <w:sz w:val="22"/>
          <w:szCs w:val="22"/>
        </w:rPr>
        <w:t xml:space="preserve">(B2P). B2P es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entidad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sin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ánimo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lucro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construye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puentes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peatonales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mejorar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las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vidas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las personas de las zonas rurales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todo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que no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tienen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acceso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recursos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críticos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básicos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sanidad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educación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empleo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por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culpa de un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río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intransitable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o un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barranco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profundo.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Según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Ron Oberlander,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vicepresidente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Servicios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Profesionales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Globales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Topcon, Topcon ha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enviado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donación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especie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diez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autoniveles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digitales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a Ruanda,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país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parte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oriental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África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y </w:t>
      </w:r>
      <w:proofErr w:type="gramStart"/>
      <w:r w:rsidRPr="008336A7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otras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naciones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africanas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.</w:t>
      </w:r>
    </w:p>
    <w:p w14:paraId="2155016F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22"/>
          <w:szCs w:val="22"/>
        </w:rPr>
      </w:pPr>
      <w:r w:rsidRPr="008336A7">
        <w:rPr>
          <w:rFonts w:ascii="Arial" w:hAnsi="Arial" w:cs="Arial"/>
          <w:color w:val="2D2D2D"/>
          <w:sz w:val="22"/>
          <w:szCs w:val="22"/>
        </w:rPr>
        <w:t xml:space="preserve">"Nos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complace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enormemente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continuar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ayudando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a B2P",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dijo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. "Los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nuevos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equipos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son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siguiente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paso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digitalización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para que sus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proyectos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sean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un poco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mejores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un poco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fáciles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y un poco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eficientes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. No es normal que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empresa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nuestra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vea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resultados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inmediatos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y tangibles de sus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esfuerzos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filantrópicos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pero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esto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es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realmente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así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cada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puente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que B2P termina.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Creemos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firmemente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nos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alegra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poder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contribuir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misión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".</w:t>
      </w:r>
    </w:p>
    <w:p w14:paraId="5524BFD6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22"/>
          <w:szCs w:val="22"/>
        </w:rPr>
      </w:pPr>
      <w:r w:rsidRPr="008336A7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donación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tendrá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repercusión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igualmente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inmediata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capacidad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producción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B2P,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según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Nicola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Turrini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director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Colaboraciones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Empresariales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Globales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B2P y uno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ingenieros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estructurales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la 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organización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.</w:t>
      </w:r>
    </w:p>
    <w:p w14:paraId="7DE05DA3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22"/>
          <w:szCs w:val="22"/>
        </w:rPr>
      </w:pPr>
      <w:r w:rsidRPr="008336A7">
        <w:rPr>
          <w:rFonts w:ascii="Arial" w:hAnsi="Arial" w:cs="Arial"/>
          <w:color w:val="2D2D2D"/>
          <w:sz w:val="22"/>
          <w:szCs w:val="22"/>
        </w:rPr>
        <w:t xml:space="preserve">"Gracias 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última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donación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especie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Topcon,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todos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ingenieros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B2P que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trabajan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tanto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Ruanda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Uganda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tengan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propio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autonivel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",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dijo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. "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Esto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puede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parecer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sencillo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pero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supondrá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gran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diferencia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distintos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proyectos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tenemos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marcha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al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mismo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tiempo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. Si bien la COVID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nos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retrasó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resto del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mundo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nos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hemos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recuperado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muy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bien y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planeamos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construir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50 o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puentes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año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calendario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Estos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, y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todos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equipos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hemos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recibido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Topcon,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agilizarán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enormemente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proceso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construcción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lograr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ese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objetivo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. Les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agradecemos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generosa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constante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ayuda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".</w:t>
      </w:r>
    </w:p>
    <w:p w14:paraId="237541CF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22"/>
          <w:szCs w:val="22"/>
        </w:rPr>
      </w:pP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8336A7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9" w:tgtFrame="_blank" w:history="1">
        <w:r w:rsidRPr="008336A7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bridgestoprosperity.org</w:t>
        </w:r>
      </w:hyperlink>
      <w:r w:rsidRPr="008336A7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8336A7">
        <w:rPr>
          <w:rFonts w:ascii="Arial" w:hAnsi="Arial" w:cs="Arial"/>
          <w:color w:val="2D2D2D"/>
          <w:sz w:val="22"/>
          <w:szCs w:val="22"/>
        </w:rPr>
        <w:t xml:space="preserve">hay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información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sobre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8336A7">
        <w:rPr>
          <w:rFonts w:ascii="Arial" w:hAnsi="Arial" w:cs="Arial"/>
          <w:color w:val="2D2D2D"/>
          <w:sz w:val="22"/>
          <w:szCs w:val="22"/>
        </w:rPr>
        <w:t>organización</w:t>
      </w:r>
      <w:proofErr w:type="spellEnd"/>
      <w:r w:rsidRPr="008336A7">
        <w:rPr>
          <w:rFonts w:ascii="Arial" w:hAnsi="Arial" w:cs="Arial"/>
          <w:color w:val="2D2D2D"/>
          <w:sz w:val="22"/>
          <w:szCs w:val="22"/>
        </w:rPr>
        <w:t>.</w:t>
      </w:r>
    </w:p>
    <w:p w14:paraId="646A64F5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16"/>
          <w:szCs w:val="16"/>
        </w:rPr>
      </w:pPr>
      <w:proofErr w:type="spellStart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>Acerca</w:t>
      </w:r>
      <w:proofErr w:type="spellEnd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 xml:space="preserve"> de Topcon Positioning Group</w:t>
      </w:r>
      <w:r w:rsidRPr="008336A7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 </w:t>
      </w:r>
      <w:r w:rsidRPr="008336A7">
        <w:rPr>
          <w:rFonts w:ascii="Arial" w:hAnsi="Arial" w:cs="Arial"/>
          <w:color w:val="2D2D2D"/>
          <w:sz w:val="16"/>
          <w:szCs w:val="16"/>
        </w:rPr>
        <w:br/>
        <w:t xml:space="preserve">Topcon Positioning Group,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empresa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puntera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tecnología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ventajas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el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cliente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, es uno de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los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principales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diseñadores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fabricantes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distribuidores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del sector que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suministra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soluciones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flujo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trabajo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precisión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la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medición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los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mercados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mundiales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los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ámbitos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de la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construcción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geoespacial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agrícola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. Topcon Positioning Group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tiene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su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sede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Livermore, California,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Estados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Unidos (</w:t>
      </w:r>
      <w:hyperlink r:id="rId10" w:history="1">
        <w:r w:rsidRPr="008336A7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topconpositioning.com</w:t>
        </w:r>
      </w:hyperlink>
      <w:r w:rsidRPr="008336A7">
        <w:rPr>
          <w:rFonts w:ascii="Arial" w:hAnsi="Arial" w:cs="Arial"/>
          <w:color w:val="2D2D2D"/>
          <w:sz w:val="16"/>
          <w:szCs w:val="16"/>
        </w:rPr>
        <w:t>, </w:t>
      </w:r>
      <w:hyperlink r:id="rId11" w:tgtFrame="_blank" w:history="1">
        <w:r w:rsidRPr="008336A7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LinkedIn</w:t>
        </w:r>
      </w:hyperlink>
      <w:r w:rsidRPr="008336A7">
        <w:rPr>
          <w:rFonts w:ascii="Arial" w:hAnsi="Arial" w:cs="Arial"/>
          <w:color w:val="2D2D2D"/>
          <w:sz w:val="16"/>
          <w:szCs w:val="16"/>
        </w:rPr>
        <w:t>, </w:t>
      </w:r>
      <w:hyperlink r:id="rId12" w:tgtFrame="_blank" w:history="1">
        <w:r w:rsidRPr="008336A7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Twitter</w:t>
        </w:r>
      </w:hyperlink>
      <w:r w:rsidRPr="008336A7">
        <w:rPr>
          <w:rFonts w:ascii="Arial" w:hAnsi="Arial" w:cs="Arial"/>
          <w:color w:val="2D2D2D"/>
          <w:sz w:val="16"/>
          <w:szCs w:val="16"/>
        </w:rPr>
        <w:t>, </w:t>
      </w:r>
      <w:hyperlink r:id="rId13" w:tgtFrame="_blank" w:history="1">
        <w:r w:rsidRPr="008336A7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Facebook</w:t>
        </w:r>
      </w:hyperlink>
      <w:r w:rsidRPr="008336A7">
        <w:rPr>
          <w:rFonts w:ascii="Arial" w:hAnsi="Arial" w:cs="Arial"/>
          <w:color w:val="2D2D2D"/>
          <w:sz w:val="16"/>
          <w:szCs w:val="16"/>
        </w:rPr>
        <w:t xml:space="preserve">).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Su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oficina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principal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Europa se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encuentra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Capelle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a/d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IJssel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Países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Bajos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>. Topcon Corporation (</w:t>
      </w:r>
      <w:hyperlink r:id="rId14" w:tgtFrame="_blank" w:history="1">
        <w:r w:rsidRPr="008336A7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topcon.com</w:t>
        </w:r>
      </w:hyperlink>
      <w:r w:rsidRPr="008336A7">
        <w:rPr>
          <w:rFonts w:ascii="Arial" w:hAnsi="Arial" w:cs="Arial"/>
          <w:color w:val="2D2D2D"/>
          <w:sz w:val="16"/>
          <w:szCs w:val="16"/>
        </w:rPr>
        <w:t xml:space="preserve">), se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fundó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1932, y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cotiza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la Bolsa de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Valores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Tokio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> (7732).</w:t>
      </w:r>
    </w:p>
    <w:p w14:paraId="60B00523" w14:textId="77777777" w:rsidR="008336A7" w:rsidRPr="008336A7" w:rsidRDefault="008336A7" w:rsidP="008336A7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6"/>
          <w:szCs w:val="16"/>
        </w:rPr>
      </w:pPr>
      <w:r w:rsidRPr="008336A7">
        <w:rPr>
          <w:rFonts w:ascii="Arial" w:hAnsi="Arial" w:cs="Arial"/>
          <w:color w:val="2D2D2D"/>
          <w:sz w:val="16"/>
          <w:szCs w:val="16"/>
        </w:rPr>
        <w:t># # #</w:t>
      </w:r>
    </w:p>
    <w:p w14:paraId="5BC1EC66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16"/>
          <w:szCs w:val="16"/>
        </w:rPr>
      </w:pPr>
      <w:proofErr w:type="spellStart"/>
      <w:r w:rsidRPr="008336A7">
        <w:rPr>
          <w:rFonts w:ascii="Arial" w:hAnsi="Arial" w:cs="Arial"/>
          <w:b/>
          <w:bCs/>
          <w:color w:val="2D2D2D"/>
          <w:sz w:val="16"/>
          <w:szCs w:val="16"/>
        </w:rPr>
        <w:t>Contacto</w:t>
      </w:r>
      <w:proofErr w:type="spellEnd"/>
      <w:r w:rsidRPr="008336A7">
        <w:rPr>
          <w:rFonts w:ascii="Arial" w:hAnsi="Arial" w:cs="Arial"/>
          <w:b/>
          <w:bCs/>
          <w:color w:val="2D2D2D"/>
          <w:sz w:val="16"/>
          <w:szCs w:val="16"/>
        </w:rPr>
        <w:t xml:space="preserve"> con la </w:t>
      </w:r>
      <w:proofErr w:type="spellStart"/>
      <w:r w:rsidRPr="008336A7">
        <w:rPr>
          <w:rFonts w:ascii="Arial" w:hAnsi="Arial" w:cs="Arial"/>
          <w:b/>
          <w:bCs/>
          <w:color w:val="2D2D2D"/>
          <w:sz w:val="16"/>
          <w:szCs w:val="16"/>
        </w:rPr>
        <w:t>prensa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br/>
        <w:t>Topcon Positioning Group</w:t>
      </w:r>
      <w:r w:rsidRPr="008336A7">
        <w:rPr>
          <w:rFonts w:ascii="Arial" w:hAnsi="Arial" w:cs="Arial"/>
          <w:color w:val="2D2D2D"/>
          <w:sz w:val="16"/>
          <w:szCs w:val="16"/>
        </w:rPr>
        <w:br/>
      </w:r>
      <w:hyperlink r:id="rId15" w:history="1">
        <w:r w:rsidRPr="008336A7">
          <w:rPr>
            <w:rStyle w:val="Hyperlink"/>
            <w:rFonts w:ascii="Arial" w:hAnsi="Arial" w:cs="Arial"/>
            <w:color w:val="0A8CFA"/>
            <w:sz w:val="16"/>
            <w:szCs w:val="16"/>
            <w:u w:val="none"/>
          </w:rPr>
          <w:t>corpcomm@topcon.com</w:t>
        </w:r>
      </w:hyperlink>
      <w:r w:rsidRPr="008336A7">
        <w:rPr>
          <w:rFonts w:ascii="Arial" w:hAnsi="Arial" w:cs="Arial"/>
          <w:color w:val="2D2D2D"/>
          <w:sz w:val="16"/>
          <w:szCs w:val="16"/>
        </w:rPr>
        <w:br/>
        <w:t>Staci Fitzgerald</w:t>
      </w:r>
      <w:r w:rsidRPr="008336A7">
        <w:rPr>
          <w:rFonts w:ascii="Arial" w:hAnsi="Arial" w:cs="Arial"/>
          <w:color w:val="2D2D2D"/>
          <w:sz w:val="16"/>
          <w:szCs w:val="16"/>
        </w:rPr>
        <w:br/>
        <w:t>+1 925-245-</w:t>
      </w:r>
      <w:proofErr w:type="gramStart"/>
      <w:r w:rsidRPr="008336A7">
        <w:rPr>
          <w:rFonts w:ascii="Arial" w:hAnsi="Arial" w:cs="Arial"/>
          <w:color w:val="2D2D2D"/>
          <w:sz w:val="16"/>
          <w:szCs w:val="16"/>
        </w:rPr>
        <w:t>8610</w:t>
      </w:r>
      <w:proofErr w:type="gramEnd"/>
    </w:p>
    <w:p w14:paraId="3996F958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16"/>
          <w:szCs w:val="16"/>
        </w:rPr>
      </w:pPr>
      <w:proofErr w:type="spellStart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>Fotos</w:t>
      </w:r>
      <w:proofErr w:type="spellEnd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>por</w:t>
      </w:r>
      <w:proofErr w:type="spellEnd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>cortesía</w:t>
      </w:r>
      <w:proofErr w:type="spellEnd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 xml:space="preserve"> de Bridges to Prosperity.</w:t>
      </w:r>
    </w:p>
    <w:p w14:paraId="6FE87B35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16"/>
          <w:szCs w:val="16"/>
        </w:rPr>
      </w:pPr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>Arriba:</w:t>
      </w:r>
      <w:r w:rsidRPr="008336A7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 </w:t>
      </w:r>
      <w:r w:rsidRPr="008336A7">
        <w:rPr>
          <w:rFonts w:ascii="Arial" w:hAnsi="Arial" w:cs="Arial"/>
          <w:color w:val="2D2D2D"/>
          <w:sz w:val="16"/>
          <w:szCs w:val="16"/>
        </w:rPr>
        <w:t xml:space="preserve">Bridges to Prosperity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construye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puentes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peatonales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mejorar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las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vidas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de las personas de las zonas rurales de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todo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el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> 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mundo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>.</w:t>
      </w:r>
    </w:p>
    <w:p w14:paraId="44CBA314" w14:textId="77777777" w:rsidR="008336A7" w:rsidRPr="008336A7" w:rsidRDefault="008336A7" w:rsidP="008336A7">
      <w:pPr>
        <w:pStyle w:val="NormalWeb"/>
        <w:spacing w:after="225"/>
        <w:rPr>
          <w:rFonts w:ascii="Arial" w:hAnsi="Arial" w:cs="Arial"/>
          <w:color w:val="2D2D2D"/>
          <w:sz w:val="16"/>
          <w:szCs w:val="16"/>
        </w:rPr>
      </w:pPr>
      <w:proofErr w:type="spellStart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lastRenderedPageBreak/>
        <w:t>Derecha</w:t>
      </w:r>
      <w:proofErr w:type="spellEnd"/>
      <w:r w:rsidRPr="008336A7">
        <w:rPr>
          <w:rStyle w:val="Strong"/>
          <w:rFonts w:ascii="Arial" w:hAnsi="Arial" w:cs="Arial"/>
          <w:color w:val="2D2D2D"/>
          <w:sz w:val="16"/>
          <w:szCs w:val="16"/>
        </w:rPr>
        <w:t>:</w:t>
      </w:r>
      <w:r w:rsidRPr="008336A7">
        <w:rPr>
          <w:rStyle w:val="Strong"/>
          <w:rFonts w:ascii="Arial" w:hAnsi="Arial" w:cs="Arial"/>
          <w:b w:val="0"/>
          <w:bCs w:val="0"/>
          <w:color w:val="2D2D2D"/>
          <w:sz w:val="16"/>
          <w:szCs w:val="16"/>
        </w:rPr>
        <w:t> </w:t>
      </w:r>
      <w:r w:rsidRPr="008336A7">
        <w:rPr>
          <w:rFonts w:ascii="Arial" w:hAnsi="Arial" w:cs="Arial"/>
          <w:color w:val="2D2D2D"/>
          <w:sz w:val="16"/>
          <w:szCs w:val="16"/>
        </w:rPr>
        <w:t xml:space="preserve">Topcon ha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proporcionado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varios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equipos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como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la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estación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total de la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foto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, a la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organización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Bridges to Prosperity para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agilizar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su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proceso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 xml:space="preserve"> de </w:t>
      </w:r>
      <w:proofErr w:type="spellStart"/>
      <w:r w:rsidRPr="008336A7">
        <w:rPr>
          <w:rFonts w:ascii="Arial" w:hAnsi="Arial" w:cs="Arial"/>
          <w:color w:val="2D2D2D"/>
          <w:sz w:val="16"/>
          <w:szCs w:val="16"/>
        </w:rPr>
        <w:t>construcción</w:t>
      </w:r>
      <w:proofErr w:type="spellEnd"/>
      <w:r w:rsidRPr="008336A7">
        <w:rPr>
          <w:rFonts w:ascii="Arial" w:hAnsi="Arial" w:cs="Arial"/>
          <w:color w:val="2D2D2D"/>
          <w:sz w:val="16"/>
          <w:szCs w:val="16"/>
        </w:rPr>
        <w:t>.</w:t>
      </w:r>
      <w:r w:rsidRPr="008336A7">
        <w:rPr>
          <w:rFonts w:ascii="Arial" w:hAnsi="Arial" w:cs="Arial"/>
          <w:color w:val="2D2D2D"/>
          <w:sz w:val="16"/>
          <w:szCs w:val="16"/>
        </w:rPr>
        <w:br/>
        <w:t> </w:t>
      </w:r>
    </w:p>
    <w:p w14:paraId="7AA2E12C" w14:textId="77777777" w:rsidR="008336A7" w:rsidRPr="008336A7" w:rsidRDefault="008336A7" w:rsidP="008336A7">
      <w:pPr>
        <w:tabs>
          <w:tab w:val="left" w:pos="270"/>
        </w:tabs>
        <w:spacing w:after="0"/>
        <w:jc w:val="center"/>
        <w:rPr>
          <w:rStyle w:val="Emphasis"/>
          <w:rFonts w:cs="Arial"/>
          <w:color w:val="2D2D2D"/>
          <w:sz w:val="16"/>
          <w:szCs w:val="16"/>
        </w:rPr>
      </w:pPr>
    </w:p>
    <w:sectPr w:rsidR="008336A7" w:rsidRPr="008336A7" w:rsidSect="009007A3">
      <w:headerReference w:type="default" r:id="rId16"/>
      <w:footerReference w:type="default" r:id="rId17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5EF2B" w14:textId="77777777" w:rsidR="006B04B2" w:rsidRDefault="006B04B2" w:rsidP="00FC40E0">
      <w:pPr>
        <w:spacing w:after="0" w:line="240" w:lineRule="auto"/>
      </w:pPr>
      <w:r>
        <w:separator/>
      </w:r>
    </w:p>
  </w:endnote>
  <w:endnote w:type="continuationSeparator" w:id="0">
    <w:p w14:paraId="33EFB211" w14:textId="77777777" w:rsidR="006B04B2" w:rsidRDefault="006B04B2" w:rsidP="00FC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C64C" w14:textId="77777777" w:rsidR="004F3CA2" w:rsidRDefault="004F3CA2" w:rsidP="004A6B78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39932" w14:textId="77777777" w:rsidR="006B04B2" w:rsidRDefault="006B04B2" w:rsidP="00FC40E0">
      <w:pPr>
        <w:spacing w:after="0" w:line="240" w:lineRule="auto"/>
      </w:pPr>
      <w:r>
        <w:separator/>
      </w:r>
    </w:p>
  </w:footnote>
  <w:footnote w:type="continuationSeparator" w:id="0">
    <w:p w14:paraId="2CDE8A50" w14:textId="77777777" w:rsidR="006B04B2" w:rsidRDefault="006B04B2" w:rsidP="00FC4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87BD" w14:textId="77777777" w:rsidR="00FC40E0" w:rsidRDefault="00083167" w:rsidP="007A62A1">
    <w:pPr>
      <w:pStyle w:val="Header"/>
      <w:tabs>
        <w:tab w:val="clear" w:pos="93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48B3C477" wp14:editId="3384DC8D">
          <wp:simplePos x="0" y="0"/>
          <wp:positionH relativeFrom="column">
            <wp:posOffset>-260350</wp:posOffset>
          </wp:positionH>
          <wp:positionV relativeFrom="paragraph">
            <wp:posOffset>-203835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E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0DE677" wp14:editId="2F4F2385">
              <wp:simplePos x="0" y="0"/>
              <wp:positionH relativeFrom="column">
                <wp:posOffset>4318000</wp:posOffset>
              </wp:positionH>
              <wp:positionV relativeFrom="paragraph">
                <wp:posOffset>-259080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9EA7CE" w14:textId="77777777" w:rsidR="00FC40E0" w:rsidRPr="00FC40E0" w:rsidRDefault="00FC40E0" w:rsidP="008850D5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0DE67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0pt;margin-top:-20.4pt;width:153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i+QIJ+QAAAAOAQAADwAAAGRycy9kb3ducmV2LnhtbEyPQU/DMAyF70j8h8hI3LaE&#13;&#10;Ckbpmk5T0YSE4LCxCze3ydqKxilNthV+PeYEF0u2n5/fl68m14uTHUPnScPNXIGwVHvTUaNh/7aZ&#13;&#10;pSBCRDLYe7IavmyAVXF5kWNm/Jm29rSLjWATChlqaGMcMilD3VqHYe4HS7w7+NFh5HZspBnxzOau&#13;&#10;l4lSC+mwI/7Q4mDL1tYfu6PT8FxuXnFbJS797sunl8N6+Ny/32l9fTU9LrmslyCineLfBfwycH4o&#13;&#10;OFjlj2SC6DUsUsVAUcPsVjEIKx7Se55ULE1AFrn8j1H8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IvkCCfkAAAADgEAAA8AAAAAAAAAAAAAAAAAbwQAAGRycy9kb3ducmV2LnhtbFBL&#13;&#10;BQYAAAAABAAEAPMAAACABQAAAAA=&#13;&#10;" filled="f" stroked="f" strokeweight=".5pt">
              <v:textbox>
                <w:txbxContent>
                  <w:p w14:paraId="739EA7CE" w14:textId="77777777" w:rsidR="00FC40E0" w:rsidRPr="00FC40E0" w:rsidRDefault="00FC40E0" w:rsidP="008850D5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 w:rsidR="00FC40E0" w:rsidRPr="00FC40E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27951" wp14:editId="01C4BD4B">
              <wp:simplePos x="0" y="0"/>
              <wp:positionH relativeFrom="column">
                <wp:posOffset>-908050</wp:posOffset>
              </wp:positionH>
              <wp:positionV relativeFrom="paragraph">
                <wp:posOffset>-463550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6AD02E" id="Rectangle 6" o:spid="_x0000_s1026" style="position:absolute;margin-left:-71.5pt;margin-top:-36.5pt;width:610.5pt;height:5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9IVegIAACsFAAAOAAAAZHJzL2Uyb0RvYy54bWysVNuK2zAQfS/0H4zfvb5EcdKwzpJk41Io&#13;&#10;7bLb9l0ry7FBloyk5sKy/76jke1eKaU0AVmXmTNzjmZ0fXPuRHDk2rRKFmF6lYQBl0xVrTwU4edP&#13;&#10;ZbQMA2OprKhQkhfhhZvwZv361fWpX/FMNUpUXAcAIs3q1BdhY22/imPDGt5Rc6V6LuGwVrqjFpb6&#13;&#10;EFeangC9E3GWJHl8UrrqtWLcGNi99YfhGvHrmjP7sa4Nt4EoQsjN4qhxfHRjvL6mq4OmfdOyIQ36&#13;&#10;D1l0tJUQdIK6pZYGX3X7C1TXMq2Mqu0VU12s6rplHDkAmzT5ic1DQ3uOXEAc008ymf8Hyz4c73TQ&#13;&#10;VkW4CANJO7iiexCNyoPgQY6U+Nm+N9aRg5kn9VSW2Xa+L0lUwiwiyZZE2z15E5XZbLnPFuUum+XP&#13;&#10;zjvNV0xzaqE83lWjwGn+dwSGq3bSkBglxkyfyHKbLnJSRmmWkWi3JJtos0i30Twhs3RGSJrmm2d3&#13;&#10;tTHmPH6RRXzqzQpZuxrB6UN/p8HYrQxMHdNzrbugFm3/BYoaVYCrCs5YN5epbpweDDYXi/lsNofy&#13;&#10;YnCW5wlJsLAgusNxeL029i1XXeAmRahBYkSlR0jKJzqaOHOjRFuVrRC40IfHndDBkUINl8T9B24/&#13;&#10;mAnpjKVybh7R7SBdzwr52Yvgzk7Ie16DmpB9hplgx/EpDmWMS+upm4ZW3IefJ/Abo7sedR6oLwI6&#13;&#10;5BriT9gDwGjpQUZsn+Vg71w5NuzknPwpMe88eWBkJe3k3LVS6d8BCGA1RPb2o0heGqfSo6ou0BXa&#13;&#10;ip3y7waVrFHwbDCr0dlZQUci8+H1cC3//Rphv71x6xcAAAD//wMAUEsDBBQABgAIAAAAIQC7x2ms&#13;&#10;4gAAABEBAAAPAAAAZHJzL2Rvd25yZXYueG1sTI9BT8MwDIXvSPyHyEjctqQUbaNrOiEQSBw3OMAt&#13;&#10;a0zb0ThVk3bl3+Oe2MX6LNvP7+W7ybVixD40njQkSwUCqfS2oUrDx/vLYgMiREPWtJ5Qwy8G2BXX&#13;&#10;V7nJrD/THsdDrASLUMiMhjrGLpMylDU6E5a+Q+LZt++didz2lbS9ObO4a+WdUivpTEP8oTYdPtVY&#13;&#10;/hwGp+GUvu0fVqMvX8nK4RRsZ9PPL61vb6bnLZfHLYiIU/y/gDkD+4eCjR39QDaIVsMiuU85UWRa&#13;&#10;zzCvqPWG6aghTRTIIpeXSYo/AAAA//8DAFBLAQItABQABgAIAAAAIQC2gziS/gAAAOEBAAATAAAA&#13;&#10;AAAAAAAAAAAAAAAAAABbQ29udGVudF9UeXBlc10ueG1sUEsBAi0AFAAGAAgAAAAhADj9If/WAAAA&#13;&#10;lAEAAAsAAAAAAAAAAAAAAAAALwEAAF9yZWxzLy5yZWxzUEsBAi0AFAAGAAgAAAAhAJNL0hV6AgAA&#13;&#10;KwUAAA4AAAAAAAAAAAAAAAAALgIAAGRycy9lMm9Eb2MueG1sUEsBAi0AFAAGAAgAAAAhALvHaazi&#13;&#10;AAAAEQEAAA8AAAAAAAAAAAAAAAAA1AQAAGRycy9kb3ducmV2LnhtbFBLBQYAAAAABAAEAPMAAADj&#13;&#10;BQAAAAA=&#13;&#10;" fillcolor="#f4f4f4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43A1A"/>
    <w:multiLevelType w:val="hybridMultilevel"/>
    <w:tmpl w:val="D7208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127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0C"/>
    <w:rsid w:val="00010672"/>
    <w:rsid w:val="00041301"/>
    <w:rsid w:val="00050877"/>
    <w:rsid w:val="00066EAC"/>
    <w:rsid w:val="00083167"/>
    <w:rsid w:val="0008727B"/>
    <w:rsid w:val="00093E26"/>
    <w:rsid w:val="000A66BC"/>
    <w:rsid w:val="000C7542"/>
    <w:rsid w:val="000D7DE2"/>
    <w:rsid w:val="000E4519"/>
    <w:rsid w:val="0011602D"/>
    <w:rsid w:val="00142943"/>
    <w:rsid w:val="00192782"/>
    <w:rsid w:val="00195078"/>
    <w:rsid w:val="00196C50"/>
    <w:rsid w:val="001B5515"/>
    <w:rsid w:val="001E37B0"/>
    <w:rsid w:val="00283FC0"/>
    <w:rsid w:val="002C39AC"/>
    <w:rsid w:val="002F75DC"/>
    <w:rsid w:val="00323434"/>
    <w:rsid w:val="003576F8"/>
    <w:rsid w:val="00362B3C"/>
    <w:rsid w:val="00364A81"/>
    <w:rsid w:val="00384582"/>
    <w:rsid w:val="003B3C22"/>
    <w:rsid w:val="003D6577"/>
    <w:rsid w:val="003D6680"/>
    <w:rsid w:val="003E3D12"/>
    <w:rsid w:val="003E7B37"/>
    <w:rsid w:val="003F1344"/>
    <w:rsid w:val="003F5B9B"/>
    <w:rsid w:val="004302E3"/>
    <w:rsid w:val="00447793"/>
    <w:rsid w:val="004A3971"/>
    <w:rsid w:val="004A6A0C"/>
    <w:rsid w:val="004A6B78"/>
    <w:rsid w:val="004C2A0F"/>
    <w:rsid w:val="004C4F54"/>
    <w:rsid w:val="004F3CA2"/>
    <w:rsid w:val="004F7050"/>
    <w:rsid w:val="0050081C"/>
    <w:rsid w:val="0050180B"/>
    <w:rsid w:val="0050450B"/>
    <w:rsid w:val="00512280"/>
    <w:rsid w:val="00513270"/>
    <w:rsid w:val="005469AA"/>
    <w:rsid w:val="00547B0D"/>
    <w:rsid w:val="00581356"/>
    <w:rsid w:val="005939EE"/>
    <w:rsid w:val="005A2A24"/>
    <w:rsid w:val="00606A1F"/>
    <w:rsid w:val="006126C2"/>
    <w:rsid w:val="0062020E"/>
    <w:rsid w:val="00622D94"/>
    <w:rsid w:val="00674558"/>
    <w:rsid w:val="00682ED3"/>
    <w:rsid w:val="006B04B2"/>
    <w:rsid w:val="006B7930"/>
    <w:rsid w:val="006D7DFA"/>
    <w:rsid w:val="006F29F2"/>
    <w:rsid w:val="00703EBE"/>
    <w:rsid w:val="00707C37"/>
    <w:rsid w:val="00724214"/>
    <w:rsid w:val="00737944"/>
    <w:rsid w:val="007408B3"/>
    <w:rsid w:val="00775D0B"/>
    <w:rsid w:val="007805AA"/>
    <w:rsid w:val="007923FD"/>
    <w:rsid w:val="007A62A1"/>
    <w:rsid w:val="007E352D"/>
    <w:rsid w:val="007E7582"/>
    <w:rsid w:val="007F1471"/>
    <w:rsid w:val="007F3541"/>
    <w:rsid w:val="008175BE"/>
    <w:rsid w:val="00833282"/>
    <w:rsid w:val="008336A7"/>
    <w:rsid w:val="00840840"/>
    <w:rsid w:val="00853C44"/>
    <w:rsid w:val="00856C48"/>
    <w:rsid w:val="00867E2A"/>
    <w:rsid w:val="008850D5"/>
    <w:rsid w:val="00891C8E"/>
    <w:rsid w:val="00891E0D"/>
    <w:rsid w:val="008A2C5B"/>
    <w:rsid w:val="009007A3"/>
    <w:rsid w:val="00900C1A"/>
    <w:rsid w:val="009208D2"/>
    <w:rsid w:val="009216C2"/>
    <w:rsid w:val="00926170"/>
    <w:rsid w:val="0092658A"/>
    <w:rsid w:val="00926E65"/>
    <w:rsid w:val="00927EA5"/>
    <w:rsid w:val="00930517"/>
    <w:rsid w:val="00950F66"/>
    <w:rsid w:val="00980EAF"/>
    <w:rsid w:val="00980FFC"/>
    <w:rsid w:val="009C0D3F"/>
    <w:rsid w:val="009C62A3"/>
    <w:rsid w:val="009C7E4D"/>
    <w:rsid w:val="009D40B6"/>
    <w:rsid w:val="00A2394D"/>
    <w:rsid w:val="00A25C9A"/>
    <w:rsid w:val="00A31EC8"/>
    <w:rsid w:val="00A36FF0"/>
    <w:rsid w:val="00A9747C"/>
    <w:rsid w:val="00AB06B7"/>
    <w:rsid w:val="00AB6211"/>
    <w:rsid w:val="00AC050C"/>
    <w:rsid w:val="00AD38B0"/>
    <w:rsid w:val="00B41387"/>
    <w:rsid w:val="00B42E1F"/>
    <w:rsid w:val="00B54FCA"/>
    <w:rsid w:val="00B62364"/>
    <w:rsid w:val="00B6711B"/>
    <w:rsid w:val="00B853D3"/>
    <w:rsid w:val="00B87F08"/>
    <w:rsid w:val="00B923E1"/>
    <w:rsid w:val="00BA6216"/>
    <w:rsid w:val="00BB7D18"/>
    <w:rsid w:val="00BC639F"/>
    <w:rsid w:val="00BF436A"/>
    <w:rsid w:val="00C20C5C"/>
    <w:rsid w:val="00C42127"/>
    <w:rsid w:val="00C506EE"/>
    <w:rsid w:val="00C53AEB"/>
    <w:rsid w:val="00C71E9A"/>
    <w:rsid w:val="00C72BE8"/>
    <w:rsid w:val="00C938F4"/>
    <w:rsid w:val="00CB08CC"/>
    <w:rsid w:val="00CB12DF"/>
    <w:rsid w:val="00D03660"/>
    <w:rsid w:val="00D213BA"/>
    <w:rsid w:val="00D361DD"/>
    <w:rsid w:val="00D963A8"/>
    <w:rsid w:val="00DB602F"/>
    <w:rsid w:val="00DC22CE"/>
    <w:rsid w:val="00DD1A89"/>
    <w:rsid w:val="00DD4747"/>
    <w:rsid w:val="00DE5A92"/>
    <w:rsid w:val="00E00CB7"/>
    <w:rsid w:val="00E10095"/>
    <w:rsid w:val="00E574DF"/>
    <w:rsid w:val="00E657BF"/>
    <w:rsid w:val="00E76FEF"/>
    <w:rsid w:val="00E925F9"/>
    <w:rsid w:val="00EA6F30"/>
    <w:rsid w:val="00ED338A"/>
    <w:rsid w:val="00EF1191"/>
    <w:rsid w:val="00F22E98"/>
    <w:rsid w:val="00F53839"/>
    <w:rsid w:val="00F5528F"/>
    <w:rsid w:val="00F57125"/>
    <w:rsid w:val="00F71F6D"/>
    <w:rsid w:val="00F94303"/>
    <w:rsid w:val="00F94A08"/>
    <w:rsid w:val="00FA4F87"/>
    <w:rsid w:val="00FC40E0"/>
    <w:rsid w:val="00FE5CC7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ECD6E"/>
  <w15:chartTrackingRefBased/>
  <w15:docId w15:val="{F033D0E3-AB9F-7448-A0F2-5CA8974FB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0E0"/>
  </w:style>
  <w:style w:type="paragraph" w:styleId="Footer">
    <w:name w:val="footer"/>
    <w:basedOn w:val="Normal"/>
    <w:link w:val="Foot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0E0"/>
  </w:style>
  <w:style w:type="character" w:styleId="Hyperlink">
    <w:name w:val="Hyperlink"/>
    <w:basedOn w:val="DefaultParagraphFont"/>
    <w:uiPriority w:val="99"/>
    <w:unhideWhenUsed/>
    <w:rsid w:val="007A62A1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A62A1"/>
    <w:rPr>
      <w:b/>
      <w:bCs/>
    </w:rPr>
  </w:style>
  <w:style w:type="paragraph" w:styleId="NoSpacing">
    <w:name w:val="No Spacing"/>
    <w:uiPriority w:val="1"/>
    <w:qFormat/>
    <w:rsid w:val="000D7DE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D7D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343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E352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20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20E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A25C9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9007A3"/>
  </w:style>
  <w:style w:type="character" w:styleId="Emphasis">
    <w:name w:val="Emphasis"/>
    <w:basedOn w:val="DefaultParagraphFont"/>
    <w:uiPriority w:val="20"/>
    <w:qFormat/>
    <w:rsid w:val="008336A7"/>
    <w:rPr>
      <w:i/>
      <w:iCs/>
    </w:rPr>
  </w:style>
  <w:style w:type="paragraph" w:customStyle="1" w:styleId="rtecenter">
    <w:name w:val="rtecenter"/>
    <w:basedOn w:val="Normal"/>
    <w:rsid w:val="00833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dgestoprosperity.org/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opconpositioning.com/es-gl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orpcomm@topcon.com" TargetMode="Externa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bridgestoprosperity.org/" TargetMode="External"/><Relationship Id="rId14" Type="http://schemas.openxmlformats.org/officeDocument/2006/relationships/hyperlink" Target="http://global.topcon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Staci Fitzgerald</cp:lastModifiedBy>
  <cp:revision>2</cp:revision>
  <cp:lastPrinted>2020-11-04T20:01:00Z</cp:lastPrinted>
  <dcterms:created xsi:type="dcterms:W3CDTF">2023-06-30T15:25:00Z</dcterms:created>
  <dcterms:modified xsi:type="dcterms:W3CDTF">2023-06-30T15:25:00Z</dcterms:modified>
</cp:coreProperties>
</file>