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06BBA" w14:textId="082F251D" w:rsidR="007E352D" w:rsidRDefault="007E352D" w:rsidP="007E352D">
      <w:pPr>
        <w:jc w:val="center"/>
        <w:rPr>
          <w:sz w:val="21"/>
          <w:szCs w:val="21"/>
        </w:rPr>
      </w:pPr>
    </w:p>
    <w:p w14:paraId="13AF8555" w14:textId="77777777" w:rsidR="00C42127" w:rsidRPr="007E352D" w:rsidRDefault="00C42127" w:rsidP="007E352D">
      <w:pPr>
        <w:jc w:val="center"/>
        <w:rPr>
          <w:sz w:val="21"/>
          <w:szCs w:val="21"/>
        </w:rPr>
      </w:pPr>
    </w:p>
    <w:p w14:paraId="175CE2A6" w14:textId="53828268" w:rsidR="00C42127" w:rsidRPr="00C42127" w:rsidRDefault="00C42127" w:rsidP="00D213BA">
      <w:pPr>
        <w:tabs>
          <w:tab w:val="left" w:pos="270"/>
        </w:tabs>
        <w:spacing w:line="360" w:lineRule="auto"/>
        <w:jc w:val="center"/>
        <w:rPr>
          <w:rFonts w:cs="Arial"/>
          <w:b/>
          <w:bCs/>
          <w:color w:val="007DC5"/>
          <w:sz w:val="28"/>
          <w:szCs w:val="24"/>
        </w:rPr>
      </w:pPr>
      <w:r w:rsidRPr="00C42127">
        <w:rPr>
          <w:rFonts w:cs="Arial"/>
          <w:b/>
          <w:bCs/>
          <w:color w:val="007DC5"/>
          <w:sz w:val="28"/>
          <w:szCs w:val="24"/>
        </w:rPr>
        <w:t xml:space="preserve">New Topcon robotic total station system built for versatile </w:t>
      </w:r>
      <w:r w:rsidR="00D213BA">
        <w:rPr>
          <w:rFonts w:cs="Arial"/>
          <w:b/>
          <w:bCs/>
          <w:color w:val="007DC5"/>
          <w:sz w:val="28"/>
          <w:szCs w:val="24"/>
        </w:rPr>
        <w:br/>
      </w:r>
      <w:r w:rsidRPr="00C42127">
        <w:rPr>
          <w:rFonts w:cs="Arial"/>
          <w:b/>
          <w:bCs/>
          <w:color w:val="007DC5"/>
          <w:sz w:val="28"/>
          <w:szCs w:val="24"/>
        </w:rPr>
        <w:t>survey and construction workflow performance</w:t>
      </w:r>
    </w:p>
    <w:p w14:paraId="4335D8B8" w14:textId="67C6B91D" w:rsidR="00C42127" w:rsidRPr="00C42127" w:rsidRDefault="009C0D3F" w:rsidP="00C42127">
      <w:pPr>
        <w:tabs>
          <w:tab w:val="left" w:pos="270"/>
        </w:tabs>
        <w:spacing w:line="360" w:lineRule="auto"/>
        <w:rPr>
          <w:rFonts w:cs="Arial"/>
        </w:rPr>
      </w:pPr>
      <w:r w:rsidRPr="004A6A0C">
        <w:rPr>
          <w:rFonts w:cs="Arial"/>
          <w:i/>
          <w:iCs/>
        </w:rPr>
        <w:t>LIVERMORE, Calif.</w:t>
      </w:r>
      <w:r w:rsidR="00D213BA">
        <w:rPr>
          <w:rFonts w:cs="Arial"/>
          <w:i/>
          <w:iCs/>
        </w:rPr>
        <w:t xml:space="preserve"> </w:t>
      </w:r>
      <w:r w:rsidR="00682ED3" w:rsidRPr="007E352D">
        <w:rPr>
          <w:rFonts w:cs="Arial"/>
          <w:i/>
          <w:iCs/>
        </w:rPr>
        <w:t xml:space="preserve">– </w:t>
      </w:r>
      <w:r w:rsidR="00C42127">
        <w:rPr>
          <w:rFonts w:cs="Arial"/>
          <w:i/>
          <w:iCs/>
        </w:rPr>
        <w:t>October 13</w:t>
      </w:r>
      <w:r w:rsidR="00682ED3" w:rsidRPr="007E352D">
        <w:rPr>
          <w:rFonts w:cs="Arial"/>
          <w:i/>
          <w:iCs/>
        </w:rPr>
        <w:t xml:space="preserve">, 2020 – </w:t>
      </w:r>
      <w:r w:rsidR="00C42127" w:rsidRPr="00C42127">
        <w:rPr>
          <w:rFonts w:cs="Arial"/>
        </w:rPr>
        <w:t xml:space="preserve">Topcon Positioning Group announces new flagship </w:t>
      </w:r>
      <w:r w:rsidR="00C42127" w:rsidRPr="007F3541">
        <w:rPr>
          <w:rFonts w:cs="Arial"/>
        </w:rPr>
        <w:t>GT Series</w:t>
      </w:r>
      <w:r w:rsidR="00C42127" w:rsidRPr="00C42127">
        <w:rPr>
          <w:rFonts w:cs="Arial"/>
        </w:rPr>
        <w:t xml:space="preserve"> robotic total stations are available for survey, construction, and machine control applications. The GT-1200 and GT-600 total stations are available in multiple accuracy levels.  </w:t>
      </w:r>
    </w:p>
    <w:p w14:paraId="2868CA8E" w14:textId="740AE8E7" w:rsidR="00C42127" w:rsidRPr="00C42127" w:rsidRDefault="00C42127" w:rsidP="00C42127">
      <w:pPr>
        <w:tabs>
          <w:tab w:val="left" w:pos="270"/>
        </w:tabs>
        <w:spacing w:line="360" w:lineRule="auto"/>
        <w:rPr>
          <w:rFonts w:cs="Arial"/>
        </w:rPr>
      </w:pPr>
      <w:r w:rsidRPr="00C42127">
        <w:rPr>
          <w:rFonts w:cs="Arial"/>
        </w:rPr>
        <w:t>The new total stations are part of a full workflow solution, including a new field computer, a full-version update to Topcon field and office software, as well as GNSS receivers. The system is designed to work in sync for improved performance and better data handling with built-in, field-to-office connectivity.</w:t>
      </w:r>
    </w:p>
    <w:p w14:paraId="53AC8B76" w14:textId="1BBE713D" w:rsidR="00C42127" w:rsidRPr="00C42127" w:rsidRDefault="00C42127" w:rsidP="00C42127">
      <w:pPr>
        <w:tabs>
          <w:tab w:val="left" w:pos="270"/>
        </w:tabs>
        <w:spacing w:line="360" w:lineRule="auto"/>
        <w:rPr>
          <w:rFonts w:cs="Arial"/>
        </w:rPr>
      </w:pPr>
      <w:r w:rsidRPr="00C42127">
        <w:rPr>
          <w:rFonts w:cs="Arial"/>
        </w:rPr>
        <w:t>The speed, tracking and accuracy of the GT Series, combined with the intuitive software system, creates a flexible solution capable of satisfying the technology needs of surveyors and contractors performing survey, layout or machine guidance projects.</w:t>
      </w:r>
    </w:p>
    <w:p w14:paraId="4737000C" w14:textId="087E8E6A" w:rsidR="00C42127" w:rsidRPr="00C42127" w:rsidRDefault="00C42127" w:rsidP="00C42127">
      <w:pPr>
        <w:tabs>
          <w:tab w:val="left" w:pos="270"/>
        </w:tabs>
        <w:spacing w:line="360" w:lineRule="auto"/>
        <w:rPr>
          <w:rFonts w:cs="Arial"/>
        </w:rPr>
      </w:pPr>
      <w:r w:rsidRPr="00C42127">
        <w:rPr>
          <w:rFonts w:cs="Arial"/>
        </w:rPr>
        <w:t>“The new total stations perform at a faster 10</w:t>
      </w:r>
      <w:r w:rsidR="0062020E">
        <w:rPr>
          <w:rFonts w:cs="Arial"/>
        </w:rPr>
        <w:t xml:space="preserve"> </w:t>
      </w:r>
      <w:r w:rsidRPr="00C42127">
        <w:rPr>
          <w:rFonts w:cs="Arial"/>
        </w:rPr>
        <w:t xml:space="preserve">Hz positioning update rate. Combining the GT Series with the new field computer and software enhancements, this tracking improvement makes layout easier, and guidance more fluid, within an intuitive map view. More layout and survey points can be collected in less time,” said Ray </w:t>
      </w:r>
      <w:proofErr w:type="spellStart"/>
      <w:r w:rsidRPr="00C42127">
        <w:rPr>
          <w:rFonts w:cs="Arial"/>
        </w:rPr>
        <w:t>Kerwin</w:t>
      </w:r>
      <w:proofErr w:type="spellEnd"/>
      <w:r w:rsidRPr="00C42127">
        <w:rPr>
          <w:rFonts w:cs="Arial"/>
        </w:rPr>
        <w:t>, director of global product planning.</w:t>
      </w:r>
    </w:p>
    <w:p w14:paraId="21340476" w14:textId="7AAEAD6B" w:rsidR="00C42127" w:rsidRPr="00C42127" w:rsidRDefault="00C42127" w:rsidP="00C42127">
      <w:pPr>
        <w:tabs>
          <w:tab w:val="left" w:pos="270"/>
        </w:tabs>
        <w:spacing w:line="360" w:lineRule="auto"/>
        <w:rPr>
          <w:rFonts w:cs="Arial"/>
        </w:rPr>
      </w:pPr>
      <w:r w:rsidRPr="00C42127">
        <w:rPr>
          <w:rFonts w:cs="Arial"/>
        </w:rPr>
        <w:t xml:space="preserve">“Surveyors, contractors, as well as heavy machinery automation operators and other construction professionals can benefit from the time-savings and accuracy the series provides,” said </w:t>
      </w:r>
      <w:proofErr w:type="spellStart"/>
      <w:r w:rsidRPr="00C42127">
        <w:rPr>
          <w:rFonts w:cs="Arial"/>
        </w:rPr>
        <w:t>Kerwin</w:t>
      </w:r>
      <w:proofErr w:type="spellEnd"/>
      <w:r w:rsidRPr="00C42127">
        <w:rPr>
          <w:rFonts w:cs="Arial"/>
        </w:rPr>
        <w:t xml:space="preserve">.  </w:t>
      </w:r>
    </w:p>
    <w:p w14:paraId="6DA5B230" w14:textId="6EB0F476" w:rsidR="00C42127" w:rsidRPr="00C42127" w:rsidRDefault="00C42127" w:rsidP="00C42127">
      <w:pPr>
        <w:tabs>
          <w:tab w:val="left" w:pos="270"/>
        </w:tabs>
        <w:spacing w:line="360" w:lineRule="auto"/>
        <w:rPr>
          <w:rFonts w:cs="Arial"/>
        </w:rPr>
      </w:pPr>
      <w:r w:rsidRPr="00C42127">
        <w:rPr>
          <w:rFonts w:cs="Arial"/>
        </w:rPr>
        <w:t xml:space="preserve">Advanced </w:t>
      </w:r>
      <w:proofErr w:type="spellStart"/>
      <w:r w:rsidRPr="00C42127">
        <w:rPr>
          <w:rFonts w:cs="Arial"/>
        </w:rPr>
        <w:t>UltraTrac</w:t>
      </w:r>
      <w:proofErr w:type="spellEnd"/>
      <w:r w:rsidRPr="00C42127">
        <w:rPr>
          <w:rFonts w:cs="Arial"/>
        </w:rPr>
        <w:t xml:space="preserve"> prism tracking combines optical sensing with a new ultrasonic motor control algorithm designed to maintain superior prism-lock.</w:t>
      </w:r>
    </w:p>
    <w:p w14:paraId="2935C07C" w14:textId="316FEB48" w:rsidR="00C42127" w:rsidRPr="00C42127" w:rsidRDefault="00C42127" w:rsidP="00C42127">
      <w:pPr>
        <w:tabs>
          <w:tab w:val="left" w:pos="270"/>
        </w:tabs>
        <w:spacing w:line="360" w:lineRule="auto"/>
        <w:rPr>
          <w:rFonts w:cs="Arial"/>
        </w:rPr>
      </w:pPr>
      <w:r w:rsidRPr="00C42127">
        <w:rPr>
          <w:rFonts w:cs="Arial"/>
        </w:rPr>
        <w:t xml:space="preserve">“Tracking fast moving targets and maintaining prism-lock is now easier on challenging job sites as well as in machine guidance applications. If </w:t>
      </w:r>
      <w:r w:rsidR="00DD4747" w:rsidRPr="00DD4747">
        <w:rPr>
          <w:rFonts w:cs="Arial"/>
        </w:rPr>
        <w:t>you’r</w:t>
      </w:r>
      <w:r w:rsidR="00DD4747">
        <w:rPr>
          <w:rFonts w:cs="Arial"/>
        </w:rPr>
        <w:t>e</w:t>
      </w:r>
      <w:r w:rsidRPr="00C42127">
        <w:rPr>
          <w:rFonts w:cs="Arial"/>
        </w:rPr>
        <w:t xml:space="preserve"> performing a machine control project where the prism is vibrating on the end of the blade, for instance, the GT will lock onto the prism better than ever before and provide smoother machine guidance,” </w:t>
      </w:r>
      <w:proofErr w:type="spellStart"/>
      <w:r w:rsidRPr="00C42127">
        <w:rPr>
          <w:rFonts w:cs="Arial"/>
        </w:rPr>
        <w:t>Kerwin</w:t>
      </w:r>
      <w:proofErr w:type="spellEnd"/>
      <w:r w:rsidRPr="00C42127">
        <w:rPr>
          <w:rFonts w:cs="Arial"/>
        </w:rPr>
        <w:t xml:space="preserve"> said. </w:t>
      </w:r>
    </w:p>
    <w:p w14:paraId="65AB9CA2" w14:textId="0800DA80" w:rsidR="00C42127" w:rsidRPr="00C42127" w:rsidRDefault="00C42127" w:rsidP="00C42127">
      <w:pPr>
        <w:tabs>
          <w:tab w:val="left" w:pos="270"/>
        </w:tabs>
        <w:spacing w:line="360" w:lineRule="auto"/>
        <w:rPr>
          <w:rFonts w:cs="Arial"/>
        </w:rPr>
      </w:pPr>
      <w:r w:rsidRPr="00C42127">
        <w:rPr>
          <w:rFonts w:cs="Arial"/>
        </w:rPr>
        <w:t xml:space="preserve">From a software perspective, MAGNET improves field-based quality reporting and data handling for larger files, graphical processing, and 3D models. MAGNET Field features more </w:t>
      </w:r>
      <w:r w:rsidRPr="00C42127">
        <w:rPr>
          <w:rFonts w:cs="Arial"/>
        </w:rPr>
        <w:lastRenderedPageBreak/>
        <w:t xml:space="preserve">visual- and map-based workflows in addition to menu-driven functionality popular with power users.  </w:t>
      </w:r>
    </w:p>
    <w:p w14:paraId="65DD01FF" w14:textId="194CEE00" w:rsidR="00C42127" w:rsidRPr="00C42127" w:rsidRDefault="00C42127" w:rsidP="00C42127">
      <w:pPr>
        <w:tabs>
          <w:tab w:val="left" w:pos="270"/>
        </w:tabs>
        <w:spacing w:line="360" w:lineRule="auto"/>
        <w:rPr>
          <w:rFonts w:cs="Arial"/>
        </w:rPr>
      </w:pPr>
      <w:r w:rsidRPr="00C42127">
        <w:rPr>
          <w:rFonts w:cs="Arial"/>
        </w:rPr>
        <w:t xml:space="preserve">An optional upgrade incorporating Hybrid Positioning technology helps advanced users get instant location updates via GNSS receivers so positioning data points can be captured, </w:t>
      </w:r>
      <w:r w:rsidR="00DA4834">
        <w:rPr>
          <w:rFonts w:cs="Arial"/>
        </w:rPr>
        <w:t xml:space="preserve">even with the </w:t>
      </w:r>
      <w:r w:rsidRPr="00C42127">
        <w:rPr>
          <w:rFonts w:cs="Arial"/>
        </w:rPr>
        <w:t xml:space="preserve">loss of </w:t>
      </w:r>
      <w:r w:rsidR="00DA4834">
        <w:rPr>
          <w:rFonts w:cs="Arial"/>
        </w:rPr>
        <w:t>line of sight</w:t>
      </w:r>
      <w:r w:rsidRPr="00C42127">
        <w:rPr>
          <w:rFonts w:cs="Arial"/>
        </w:rPr>
        <w:t xml:space="preserve"> from job site obstructions.</w:t>
      </w:r>
    </w:p>
    <w:p w14:paraId="74A20F3D" w14:textId="4FDE45A5" w:rsidR="00C42127" w:rsidRPr="00C42127" w:rsidRDefault="00C42127" w:rsidP="00C42127">
      <w:pPr>
        <w:tabs>
          <w:tab w:val="left" w:pos="270"/>
        </w:tabs>
        <w:spacing w:line="360" w:lineRule="auto"/>
        <w:rPr>
          <w:rFonts w:cs="Arial"/>
        </w:rPr>
      </w:pPr>
      <w:r w:rsidRPr="00C42127">
        <w:rPr>
          <w:rFonts w:cs="Arial"/>
        </w:rPr>
        <w:t>The complete </w:t>
      </w:r>
      <w:hyperlink r:id="rId7" w:history="1">
        <w:r w:rsidRPr="007F3541">
          <w:rPr>
            <w:rStyle w:val="Hyperlink"/>
            <w:rFonts w:cs="Arial"/>
          </w:rPr>
          <w:t xml:space="preserve">GT </w:t>
        </w:r>
        <w:r w:rsidRPr="007F3541">
          <w:rPr>
            <w:rStyle w:val="Hyperlink"/>
            <w:rFonts w:cs="Arial"/>
          </w:rPr>
          <w:t>S</w:t>
        </w:r>
        <w:r w:rsidRPr="007F3541">
          <w:rPr>
            <w:rStyle w:val="Hyperlink"/>
            <w:rFonts w:cs="Arial"/>
          </w:rPr>
          <w:t>eries</w:t>
        </w:r>
      </w:hyperlink>
      <w:r w:rsidRPr="00C42127">
        <w:rPr>
          <w:rFonts w:cs="Arial"/>
        </w:rPr>
        <w:t xml:space="preserve"> workflow solution — </w:t>
      </w:r>
      <w:hyperlink r:id="rId8" w:history="1">
        <w:r w:rsidRPr="00C42127">
          <w:rPr>
            <w:rStyle w:val="Hyperlink"/>
            <w:rFonts w:cs="Arial"/>
          </w:rPr>
          <w:t>MAGNET</w:t>
        </w:r>
      </w:hyperlink>
      <w:r w:rsidRPr="00C42127">
        <w:rPr>
          <w:rFonts w:cs="Arial"/>
        </w:rPr>
        <w:t xml:space="preserve"> software, </w:t>
      </w:r>
      <w:hyperlink r:id="rId9">
        <w:r w:rsidRPr="00C42127">
          <w:rPr>
            <w:rStyle w:val="Hyperlink"/>
            <w:rFonts w:cs="Arial"/>
          </w:rPr>
          <w:t>FC-6000</w:t>
        </w:r>
      </w:hyperlink>
      <w:r w:rsidRPr="00C42127">
        <w:rPr>
          <w:rFonts w:cs="Arial"/>
        </w:rPr>
        <w:t xml:space="preserve"> field computer, and </w:t>
      </w:r>
      <w:hyperlink r:id="rId10" w:history="1">
        <w:proofErr w:type="spellStart"/>
        <w:r w:rsidRPr="00C42127">
          <w:rPr>
            <w:rStyle w:val="Hyperlink"/>
            <w:rFonts w:cs="Arial"/>
          </w:rPr>
          <w:t>HiPer</w:t>
        </w:r>
        <w:proofErr w:type="spellEnd"/>
        <w:r w:rsidRPr="00C42127">
          <w:rPr>
            <w:rStyle w:val="Hyperlink"/>
            <w:rFonts w:cs="Arial"/>
          </w:rPr>
          <w:t xml:space="preserve"> Series</w:t>
        </w:r>
      </w:hyperlink>
      <w:r w:rsidRPr="00C42127">
        <w:rPr>
          <w:rFonts w:cs="Arial"/>
        </w:rPr>
        <w:t xml:space="preserve"> GNSS receivers — combine for easy-to-use digital processes designed to help surveyors and contractors increase precision, reduce rework, and improve quality control.   </w:t>
      </w:r>
    </w:p>
    <w:p w14:paraId="66C66683" w14:textId="6AE398AF" w:rsidR="00682ED3" w:rsidRPr="00C42127" w:rsidRDefault="00C42127" w:rsidP="00C42127">
      <w:pPr>
        <w:tabs>
          <w:tab w:val="left" w:pos="270"/>
        </w:tabs>
        <w:spacing w:line="360" w:lineRule="auto"/>
        <w:rPr>
          <w:rFonts w:cs="Arial"/>
        </w:rPr>
      </w:pPr>
      <w:r w:rsidRPr="00C42127">
        <w:rPr>
          <w:rFonts w:cs="Arial"/>
        </w:rPr>
        <w:t xml:space="preserve">More on the series and solutions is available at </w:t>
      </w:r>
      <w:hyperlink r:id="rId11" w:history="1">
        <w:r w:rsidRPr="00C42127">
          <w:rPr>
            <w:rStyle w:val="Hyperlink"/>
            <w:rFonts w:cs="Arial"/>
          </w:rPr>
          <w:t>topconpo</w:t>
        </w:r>
        <w:r w:rsidRPr="00C42127">
          <w:rPr>
            <w:rStyle w:val="Hyperlink"/>
            <w:rFonts w:cs="Arial"/>
          </w:rPr>
          <w:t>s</w:t>
        </w:r>
        <w:r w:rsidRPr="00C42127">
          <w:rPr>
            <w:rStyle w:val="Hyperlink"/>
            <w:rFonts w:cs="Arial"/>
          </w:rPr>
          <w:t>itioning.com</w:t>
        </w:r>
      </w:hyperlink>
      <w:r w:rsidRPr="00C42127">
        <w:rPr>
          <w:rFonts w:cs="Arial"/>
        </w:rPr>
        <w:t xml:space="preserve">.  </w:t>
      </w:r>
    </w:p>
    <w:p w14:paraId="64B0ED24" w14:textId="3FF5FCAA" w:rsidR="00682ED3" w:rsidRPr="007E352D" w:rsidRDefault="00682ED3" w:rsidP="00682ED3">
      <w:pPr>
        <w:rPr>
          <w:rFonts w:cs="Arial"/>
          <w:bCs/>
          <w:sz w:val="16"/>
          <w:szCs w:val="16"/>
        </w:rPr>
      </w:pPr>
      <w:r w:rsidRPr="007E352D">
        <w:rPr>
          <w:rFonts w:cs="Arial"/>
          <w:b/>
          <w:bCs/>
          <w:sz w:val="16"/>
          <w:szCs w:val="16"/>
        </w:rPr>
        <w:t xml:space="preserve">About Topcon Positioning Group </w:t>
      </w:r>
      <w:r w:rsidRPr="007E352D">
        <w:rPr>
          <w:rFonts w:cs="Arial"/>
          <w:b/>
          <w:bCs/>
          <w:sz w:val="16"/>
          <w:szCs w:val="16"/>
        </w:rPr>
        <w:br/>
      </w:r>
      <w:r w:rsidR="007E352D" w:rsidRPr="007E352D">
        <w:rPr>
          <w:rFonts w:cs="Arial"/>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007E352D" w:rsidRPr="007E352D">
          <w:rPr>
            <w:rStyle w:val="Hyperlink"/>
            <w:rFonts w:cs="Arial"/>
            <w:bCs/>
            <w:sz w:val="16"/>
            <w:szCs w:val="16"/>
          </w:rPr>
          <w:t>topconpositioning.com</w:t>
        </w:r>
      </w:hyperlink>
      <w:r w:rsidR="007E352D" w:rsidRPr="007E352D">
        <w:rPr>
          <w:rFonts w:cs="Arial"/>
          <w:bCs/>
          <w:sz w:val="16"/>
          <w:szCs w:val="16"/>
        </w:rPr>
        <w:t xml:space="preserve">, </w:t>
      </w:r>
      <w:hyperlink r:id="rId13" w:history="1">
        <w:r w:rsidR="007E352D" w:rsidRPr="007E352D">
          <w:rPr>
            <w:rStyle w:val="Hyperlink"/>
            <w:rFonts w:cs="Arial"/>
            <w:bCs/>
            <w:sz w:val="16"/>
            <w:szCs w:val="16"/>
          </w:rPr>
          <w:t>LinkedIn</w:t>
        </w:r>
      </w:hyperlink>
      <w:r w:rsidR="007E352D" w:rsidRPr="007E352D">
        <w:rPr>
          <w:rFonts w:cs="Arial"/>
          <w:bCs/>
          <w:sz w:val="16"/>
          <w:szCs w:val="16"/>
        </w:rPr>
        <w:t xml:space="preserve">, </w:t>
      </w:r>
      <w:hyperlink r:id="rId14" w:history="1">
        <w:r w:rsidR="007E352D" w:rsidRPr="007E352D">
          <w:rPr>
            <w:rStyle w:val="Hyperlink"/>
            <w:rFonts w:cs="Arial"/>
            <w:bCs/>
            <w:sz w:val="16"/>
            <w:szCs w:val="16"/>
          </w:rPr>
          <w:t>Twitter</w:t>
        </w:r>
      </w:hyperlink>
      <w:r w:rsidR="007E352D" w:rsidRPr="007E352D">
        <w:rPr>
          <w:rFonts w:cs="Arial"/>
          <w:bCs/>
          <w:sz w:val="16"/>
          <w:szCs w:val="16"/>
        </w:rPr>
        <w:t xml:space="preserve">, </w:t>
      </w:r>
      <w:hyperlink r:id="rId15" w:history="1">
        <w:r w:rsidR="007E352D" w:rsidRPr="007E352D">
          <w:rPr>
            <w:rStyle w:val="Hyperlink"/>
            <w:rFonts w:cs="Arial"/>
            <w:bCs/>
            <w:sz w:val="16"/>
            <w:szCs w:val="16"/>
          </w:rPr>
          <w:t>Facebook</w:t>
        </w:r>
      </w:hyperlink>
      <w:r w:rsidR="007E352D" w:rsidRPr="007E352D">
        <w:rPr>
          <w:rFonts w:cs="Arial"/>
          <w:bCs/>
          <w:sz w:val="16"/>
          <w:szCs w:val="16"/>
        </w:rPr>
        <w:t xml:space="preserve">). Its European head office is in </w:t>
      </w:r>
      <w:proofErr w:type="spellStart"/>
      <w:r w:rsidR="007E352D" w:rsidRPr="007E352D">
        <w:rPr>
          <w:rFonts w:cs="Arial"/>
          <w:bCs/>
          <w:sz w:val="16"/>
          <w:szCs w:val="16"/>
        </w:rPr>
        <w:t>Capelle</w:t>
      </w:r>
      <w:proofErr w:type="spellEnd"/>
      <w:r w:rsidR="007E352D" w:rsidRPr="007E352D">
        <w:rPr>
          <w:rFonts w:cs="Arial"/>
          <w:bCs/>
          <w:sz w:val="16"/>
          <w:szCs w:val="16"/>
        </w:rPr>
        <w:t xml:space="preserve"> </w:t>
      </w:r>
      <w:proofErr w:type="spellStart"/>
      <w:r w:rsidR="007E352D" w:rsidRPr="007E352D">
        <w:rPr>
          <w:rFonts w:cs="Arial"/>
          <w:bCs/>
          <w:sz w:val="16"/>
          <w:szCs w:val="16"/>
        </w:rPr>
        <w:t>a/d</w:t>
      </w:r>
      <w:proofErr w:type="spellEnd"/>
      <w:r w:rsidR="007E352D" w:rsidRPr="007E352D">
        <w:rPr>
          <w:rFonts w:cs="Arial"/>
          <w:bCs/>
          <w:sz w:val="16"/>
          <w:szCs w:val="16"/>
        </w:rPr>
        <w:t xml:space="preserve"> </w:t>
      </w:r>
      <w:proofErr w:type="spellStart"/>
      <w:r w:rsidR="007E352D" w:rsidRPr="007E352D">
        <w:rPr>
          <w:rFonts w:cs="Arial"/>
          <w:bCs/>
          <w:sz w:val="16"/>
          <w:szCs w:val="16"/>
        </w:rPr>
        <w:t>IJssel</w:t>
      </w:r>
      <w:proofErr w:type="spellEnd"/>
      <w:r w:rsidR="007E352D" w:rsidRPr="007E352D">
        <w:rPr>
          <w:rFonts w:cs="Arial"/>
          <w:bCs/>
          <w:sz w:val="16"/>
          <w:szCs w:val="16"/>
        </w:rPr>
        <w:t>, the Netherlands. Topcon Corporation (</w:t>
      </w:r>
      <w:hyperlink r:id="rId16" w:history="1">
        <w:r w:rsidR="007E352D" w:rsidRPr="007E352D">
          <w:rPr>
            <w:rStyle w:val="Hyperlink"/>
            <w:rFonts w:cs="Arial"/>
            <w:bCs/>
            <w:sz w:val="16"/>
            <w:szCs w:val="16"/>
          </w:rPr>
          <w:t>topcon.com</w:t>
        </w:r>
      </w:hyperlink>
      <w:r w:rsidR="007E352D" w:rsidRPr="007E352D">
        <w:rPr>
          <w:rFonts w:cs="Arial"/>
          <w:bCs/>
          <w:sz w:val="16"/>
          <w:szCs w:val="16"/>
        </w:rPr>
        <w:t>), founded in 1932, is traded on the Tokyo Stock Exchange (7732). </w:t>
      </w:r>
    </w:p>
    <w:p w14:paraId="570C3ED0" w14:textId="4BE0817F" w:rsidR="009216C2" w:rsidRPr="007E352D" w:rsidRDefault="009216C2" w:rsidP="009216C2">
      <w:pPr>
        <w:jc w:val="center"/>
        <w:rPr>
          <w:rFonts w:cs="Arial"/>
          <w:sz w:val="16"/>
          <w:szCs w:val="16"/>
        </w:rPr>
      </w:pPr>
      <w:r w:rsidRPr="007E352D">
        <w:rPr>
          <w:rFonts w:cs="Arial"/>
          <w:sz w:val="16"/>
          <w:szCs w:val="16"/>
        </w:rPr>
        <w:t># # #</w:t>
      </w:r>
    </w:p>
    <w:p w14:paraId="516F9677" w14:textId="071A44EC" w:rsidR="00682ED3" w:rsidRPr="007E352D" w:rsidRDefault="00622D94" w:rsidP="00682ED3">
      <w:pPr>
        <w:rPr>
          <w:rFonts w:cs="Arial"/>
          <w:b/>
          <w:sz w:val="16"/>
          <w:szCs w:val="16"/>
          <w:lang w:val="en-GB"/>
        </w:rPr>
      </w:pPr>
      <w:r w:rsidRPr="007E352D">
        <w:rPr>
          <w:rFonts w:cs="Arial"/>
          <w:b/>
          <w:sz w:val="16"/>
          <w:szCs w:val="16"/>
          <w:lang w:val="en-GB"/>
        </w:rPr>
        <w:t xml:space="preserve">Press </w:t>
      </w:r>
      <w:r w:rsidR="00682ED3" w:rsidRPr="007E352D">
        <w:rPr>
          <w:rFonts w:cs="Arial"/>
          <w:b/>
          <w:sz w:val="16"/>
          <w:szCs w:val="16"/>
          <w:lang w:val="en-GB"/>
        </w:rPr>
        <w:t>Information</w:t>
      </w:r>
      <w:r w:rsidRPr="007E352D">
        <w:rPr>
          <w:rFonts w:cs="Arial"/>
          <w:b/>
          <w:sz w:val="16"/>
          <w:szCs w:val="16"/>
          <w:lang w:val="en-GB"/>
        </w:rPr>
        <w:t>:</w:t>
      </w:r>
      <w:r w:rsidR="00682ED3" w:rsidRPr="007E352D">
        <w:rPr>
          <w:rFonts w:cs="Arial"/>
          <w:b/>
          <w:sz w:val="16"/>
          <w:szCs w:val="16"/>
          <w:lang w:val="en-GB"/>
        </w:rPr>
        <w:br/>
      </w:r>
      <w:r w:rsidR="00682ED3" w:rsidRPr="007E352D">
        <w:rPr>
          <w:rFonts w:cs="Arial"/>
          <w:b/>
          <w:sz w:val="16"/>
          <w:szCs w:val="16"/>
        </w:rPr>
        <w:t>Topcon Positioning Group</w:t>
      </w:r>
      <w:r w:rsidR="00682ED3" w:rsidRPr="007E352D">
        <w:rPr>
          <w:rFonts w:cs="Arial"/>
          <w:b/>
          <w:sz w:val="16"/>
          <w:szCs w:val="16"/>
          <w:lang w:val="en-GB"/>
        </w:rPr>
        <w:br/>
      </w:r>
      <w:hyperlink r:id="rId17" w:history="1">
        <w:r w:rsidR="00682ED3" w:rsidRPr="007E352D">
          <w:rPr>
            <w:rStyle w:val="Hyperlink"/>
            <w:rFonts w:cs="Arial"/>
            <w:sz w:val="16"/>
            <w:szCs w:val="16"/>
          </w:rPr>
          <w:t>corpcomm@topcon.com</w:t>
        </w:r>
      </w:hyperlink>
      <w:r w:rsidR="00682ED3" w:rsidRPr="007E352D">
        <w:rPr>
          <w:rFonts w:cs="Arial"/>
          <w:b/>
          <w:sz w:val="16"/>
          <w:szCs w:val="16"/>
          <w:lang w:val="en-GB"/>
        </w:rPr>
        <w:br/>
      </w:r>
      <w:r w:rsidR="00682ED3" w:rsidRPr="007E352D">
        <w:rPr>
          <w:rFonts w:cs="Arial"/>
          <w:sz w:val="16"/>
          <w:szCs w:val="16"/>
        </w:rPr>
        <w:t>Staci Fitzgerald, +1 925-245-8610</w:t>
      </w:r>
    </w:p>
    <w:p w14:paraId="29AFEDBF" w14:textId="0FB7DD90" w:rsidR="007A62A1" w:rsidRPr="00622D94" w:rsidRDefault="007A62A1" w:rsidP="00682ED3">
      <w:pPr>
        <w:rPr>
          <w:rFonts w:cs="Arial"/>
          <w:b/>
          <w:bCs/>
          <w:sz w:val="16"/>
          <w:szCs w:val="16"/>
          <w:lang w:val="en-GB"/>
        </w:rPr>
      </w:pPr>
    </w:p>
    <w:sectPr w:rsidR="007A62A1" w:rsidRPr="00622D94" w:rsidSect="004F3CA2">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90A20" w14:textId="77777777" w:rsidR="000C0E26" w:rsidRDefault="000C0E26" w:rsidP="00FC40E0">
      <w:pPr>
        <w:spacing w:after="0" w:line="240" w:lineRule="auto"/>
      </w:pPr>
      <w:r>
        <w:separator/>
      </w:r>
    </w:p>
  </w:endnote>
  <w:endnote w:type="continuationSeparator" w:id="0">
    <w:p w14:paraId="27E149A1" w14:textId="77777777" w:rsidR="000C0E26" w:rsidRDefault="000C0E26"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88152E" w14:textId="77777777" w:rsidR="000C0E26" w:rsidRDefault="000C0E26" w:rsidP="00FC40E0">
      <w:pPr>
        <w:spacing w:after="0" w:line="240" w:lineRule="auto"/>
      </w:pPr>
      <w:r>
        <w:separator/>
      </w:r>
    </w:p>
  </w:footnote>
  <w:footnote w:type="continuationSeparator" w:id="0">
    <w:p w14:paraId="524141F0" w14:textId="77777777" w:rsidR="000C0E26" w:rsidRDefault="000C0E26"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83167"/>
    <w:rsid w:val="000A66BC"/>
    <w:rsid w:val="000C0E26"/>
    <w:rsid w:val="000C7542"/>
    <w:rsid w:val="000D7DE2"/>
    <w:rsid w:val="000E4519"/>
    <w:rsid w:val="001B5515"/>
    <w:rsid w:val="001E37B0"/>
    <w:rsid w:val="0025711C"/>
    <w:rsid w:val="00283FC0"/>
    <w:rsid w:val="002F75DC"/>
    <w:rsid w:val="00323434"/>
    <w:rsid w:val="003D4ED2"/>
    <w:rsid w:val="003D6577"/>
    <w:rsid w:val="003D6680"/>
    <w:rsid w:val="003F5B9B"/>
    <w:rsid w:val="004A6A0C"/>
    <w:rsid w:val="004A6B78"/>
    <w:rsid w:val="004F3CA2"/>
    <w:rsid w:val="004F7050"/>
    <w:rsid w:val="00512280"/>
    <w:rsid w:val="005939EE"/>
    <w:rsid w:val="005A2A24"/>
    <w:rsid w:val="005E777D"/>
    <w:rsid w:val="0062020E"/>
    <w:rsid w:val="00622D94"/>
    <w:rsid w:val="00682ED3"/>
    <w:rsid w:val="006B7930"/>
    <w:rsid w:val="006D7DFA"/>
    <w:rsid w:val="00703EBE"/>
    <w:rsid w:val="00707C37"/>
    <w:rsid w:val="00724214"/>
    <w:rsid w:val="007408B3"/>
    <w:rsid w:val="007923FD"/>
    <w:rsid w:val="007A62A1"/>
    <w:rsid w:val="007E352D"/>
    <w:rsid w:val="007F3541"/>
    <w:rsid w:val="008175BE"/>
    <w:rsid w:val="00843116"/>
    <w:rsid w:val="00856C48"/>
    <w:rsid w:val="00867E2A"/>
    <w:rsid w:val="008850D5"/>
    <w:rsid w:val="00891C8E"/>
    <w:rsid w:val="009208D2"/>
    <w:rsid w:val="009216C2"/>
    <w:rsid w:val="00926170"/>
    <w:rsid w:val="00926E65"/>
    <w:rsid w:val="00930517"/>
    <w:rsid w:val="00980EAF"/>
    <w:rsid w:val="009C0D3F"/>
    <w:rsid w:val="00A36FF0"/>
    <w:rsid w:val="00AB06B7"/>
    <w:rsid w:val="00B923E1"/>
    <w:rsid w:val="00C42127"/>
    <w:rsid w:val="00C72BE8"/>
    <w:rsid w:val="00D1471E"/>
    <w:rsid w:val="00D213BA"/>
    <w:rsid w:val="00D361DD"/>
    <w:rsid w:val="00D963A8"/>
    <w:rsid w:val="00DA4834"/>
    <w:rsid w:val="00DD4747"/>
    <w:rsid w:val="00E00CB7"/>
    <w:rsid w:val="00E10095"/>
    <w:rsid w:val="00E76FEF"/>
    <w:rsid w:val="00F57125"/>
    <w:rsid w:val="00F94303"/>
    <w:rsid w:val="00FB6655"/>
    <w:rsid w:val="00FC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NormalWeb">
    <w:name w:val="Normal (Web)"/>
    <w:basedOn w:val="Normal"/>
    <w:uiPriority w:val="99"/>
    <w:semiHidden/>
    <w:unhideWhenUsed/>
    <w:rsid w:val="007E352D"/>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2020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2020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20658407">
      <w:bodyDiv w:val="1"/>
      <w:marLeft w:val="0"/>
      <w:marRight w:val="0"/>
      <w:marTop w:val="0"/>
      <w:marBottom w:val="0"/>
      <w:divBdr>
        <w:top w:val="none" w:sz="0" w:space="0" w:color="auto"/>
        <w:left w:val="none" w:sz="0" w:space="0" w:color="auto"/>
        <w:bottom w:val="none" w:sz="0" w:space="0" w:color="auto"/>
        <w:right w:val="none" w:sz="0" w:space="0" w:color="auto"/>
      </w:divBdr>
    </w:div>
    <w:div w:id="18141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magnet-software-suite" TargetMode="External"/><Relationship Id="rId13" Type="http://schemas.openxmlformats.org/officeDocument/2006/relationships/hyperlink" Target="https://www.linkedin.com/company/topcon-positioning-grou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opconpositioning.com/total-station-solutions/robotic-total-stations/gt-series" TargetMode="External"/><Relationship Id="rId12" Type="http://schemas.openxmlformats.org/officeDocument/2006/relationships/hyperlink" Target="https://www.topconpositioning.com/" TargetMode="External"/><Relationship Id="rId17" Type="http://schemas.openxmlformats.org/officeDocument/2006/relationships/hyperlink" Target="mailto:corpcomm@topcon.com" TargetMode="External"/><Relationship Id="rId2" Type="http://schemas.openxmlformats.org/officeDocument/2006/relationships/styles" Target="styles.xml"/><Relationship Id="rId16" Type="http://schemas.openxmlformats.org/officeDocument/2006/relationships/hyperlink" Target="http://global.topcon.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opconpositioning.com/" TargetMode="External"/><Relationship Id="rId5" Type="http://schemas.openxmlformats.org/officeDocument/2006/relationships/footnotes" Target="footnotes.xml"/><Relationship Id="rId15" Type="http://schemas.openxmlformats.org/officeDocument/2006/relationships/hyperlink" Target="https://www.facebook.com/TopconToday/" TargetMode="External"/><Relationship Id="rId10" Type="http://schemas.openxmlformats.org/officeDocument/2006/relationships/hyperlink" Target="https://www.topconpositioning.com/gnss-network-solution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opconpositioning.com/field-controllers/touchscreen-field-controllers/fc-6000" TargetMode="External"/><Relationship Id="rId14" Type="http://schemas.openxmlformats.org/officeDocument/2006/relationships/hyperlink" Target="https://twitter.com/topcon_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ownloads/CorpPress_Release_Templates/PressRelease_US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PressRelease_US_eng.dotx</Template>
  <TotalTime>2</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3</cp:revision>
  <dcterms:created xsi:type="dcterms:W3CDTF">2020-10-12T22:29:00Z</dcterms:created>
  <dcterms:modified xsi:type="dcterms:W3CDTF">2020-10-12T22:34:00Z</dcterms:modified>
</cp:coreProperties>
</file>