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3CB0" w14:textId="2AA15906" w:rsidR="00B12A5A" w:rsidRPr="00B12A5A" w:rsidRDefault="00DA322B" w:rsidP="00B12A5A">
      <w:pPr>
        <w:tabs>
          <w:tab w:val="left" w:pos="983"/>
        </w:tabs>
        <w:spacing w:after="2"/>
        <w:rPr>
          <w:b/>
          <w:bCs/>
          <w:color w:val="007DC5"/>
          <w:sz w:val="28"/>
          <w:szCs w:val="24"/>
        </w:rPr>
      </w:pPr>
      <w:r>
        <w:rPr>
          <w:b/>
          <w:bCs/>
          <w:color w:val="FF0000"/>
          <w:sz w:val="28"/>
          <w:szCs w:val="24"/>
        </w:rPr>
        <w:br/>
      </w:r>
    </w:p>
    <w:p w14:paraId="0EF49590" w14:textId="34776FA2" w:rsidR="00FA4779" w:rsidRDefault="00B12A5A" w:rsidP="00FA4779">
      <w:pPr>
        <w:spacing w:after="2"/>
        <w:jc w:val="center"/>
        <w:rPr>
          <w:b/>
          <w:bCs/>
          <w:color w:val="007DC5"/>
          <w:sz w:val="28"/>
          <w:szCs w:val="24"/>
        </w:rPr>
      </w:pPr>
      <w:r w:rsidRPr="00B12A5A">
        <w:rPr>
          <w:b/>
          <w:bCs/>
          <w:color w:val="007DC5"/>
          <w:sz w:val="28"/>
          <w:szCs w:val="24"/>
        </w:rPr>
        <w:t xml:space="preserve">Topcon </w:t>
      </w:r>
      <w:proofErr w:type="spellStart"/>
      <w:r w:rsidRPr="00B12A5A">
        <w:rPr>
          <w:b/>
          <w:bCs/>
          <w:color w:val="007DC5"/>
          <w:sz w:val="28"/>
          <w:szCs w:val="24"/>
        </w:rPr>
        <w:t>expande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12A5A">
        <w:rPr>
          <w:b/>
          <w:bCs/>
          <w:color w:val="007DC5"/>
          <w:sz w:val="28"/>
          <w:szCs w:val="24"/>
        </w:rPr>
        <w:t>aún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12A5A">
        <w:rPr>
          <w:b/>
          <w:bCs/>
          <w:color w:val="007DC5"/>
          <w:sz w:val="28"/>
          <w:szCs w:val="24"/>
        </w:rPr>
        <w:t>más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la </w:t>
      </w:r>
      <w:proofErr w:type="spellStart"/>
      <w:r w:rsidRPr="00B12A5A">
        <w:rPr>
          <w:b/>
          <w:bCs/>
          <w:color w:val="007DC5"/>
          <w:sz w:val="28"/>
          <w:szCs w:val="24"/>
        </w:rPr>
        <w:t>plataforma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MC-X con </w:t>
      </w:r>
      <w:proofErr w:type="spellStart"/>
      <w:r w:rsidRPr="00B12A5A">
        <w:rPr>
          <w:b/>
          <w:bCs/>
          <w:color w:val="007DC5"/>
          <w:sz w:val="28"/>
          <w:szCs w:val="24"/>
        </w:rPr>
        <w:t>su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12A5A">
        <w:rPr>
          <w:b/>
          <w:bCs/>
          <w:color w:val="007DC5"/>
          <w:sz w:val="28"/>
          <w:szCs w:val="24"/>
        </w:rPr>
        <w:t>flamante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12A5A">
        <w:rPr>
          <w:b/>
          <w:bCs/>
          <w:color w:val="007DC5"/>
          <w:sz w:val="28"/>
          <w:szCs w:val="24"/>
        </w:rPr>
        <w:t>opción</w:t>
      </w:r>
      <w:proofErr w:type="spellEnd"/>
      <w:r w:rsidRPr="00B12A5A">
        <w:rPr>
          <w:b/>
          <w:bCs/>
          <w:color w:val="007DC5"/>
          <w:sz w:val="28"/>
          <w:szCs w:val="24"/>
        </w:rPr>
        <w:t xml:space="preserve"> para </w:t>
      </w:r>
      <w:proofErr w:type="spellStart"/>
      <w:r w:rsidRPr="00B12A5A">
        <w:rPr>
          <w:b/>
          <w:bCs/>
          <w:color w:val="007DC5"/>
          <w:sz w:val="28"/>
          <w:szCs w:val="24"/>
        </w:rPr>
        <w:t>equipos</w:t>
      </w:r>
      <w:proofErr w:type="spellEnd"/>
      <w:r w:rsidRPr="00B12A5A">
        <w:rPr>
          <w:b/>
          <w:bCs/>
          <w:color w:val="007DC5"/>
          <w:sz w:val="28"/>
          <w:szCs w:val="24"/>
        </w:rPr>
        <w:t> </w:t>
      </w:r>
      <w:proofErr w:type="spellStart"/>
      <w:r w:rsidRPr="00B12A5A">
        <w:rPr>
          <w:b/>
          <w:bCs/>
          <w:color w:val="007DC5"/>
          <w:sz w:val="28"/>
          <w:szCs w:val="24"/>
        </w:rPr>
        <w:t>compactos</w:t>
      </w:r>
      <w:proofErr w:type="spellEnd"/>
    </w:p>
    <w:p w14:paraId="7253763A" w14:textId="77777777" w:rsidR="00DB71BB" w:rsidRPr="00C632BF" w:rsidRDefault="00DB71BB" w:rsidP="00FA4779">
      <w:pPr>
        <w:spacing w:after="2"/>
        <w:jc w:val="center"/>
        <w:rPr>
          <w:i/>
          <w:iCs/>
          <w:sz w:val="20"/>
          <w:szCs w:val="20"/>
        </w:rPr>
      </w:pPr>
    </w:p>
    <w:p w14:paraId="7DDA6480" w14:textId="783DEFE5" w:rsidR="00B12A5A" w:rsidRPr="00B12A5A" w:rsidRDefault="00B12A5A" w:rsidP="00B12A5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12A5A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California – 14 de </w:t>
      </w:r>
      <w:proofErr w:type="spellStart"/>
      <w:r w:rsidRPr="00B12A5A">
        <w:rPr>
          <w:rStyle w:val="Emphasis"/>
          <w:rFonts w:ascii="Arial" w:hAnsi="Arial" w:cs="Arial"/>
          <w:color w:val="2D2D2D"/>
          <w:sz w:val="22"/>
          <w:szCs w:val="22"/>
        </w:rPr>
        <w:t>marzo</w:t>
      </w:r>
      <w:proofErr w:type="spellEnd"/>
      <w:r w:rsidRPr="00B12A5A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</w:t>
      </w:r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12A5A">
        <w:rPr>
          <w:rFonts w:ascii="Arial" w:hAnsi="Arial" w:cs="Arial"/>
          <w:color w:val="2D2D2D"/>
          <w:sz w:val="22"/>
          <w:szCs w:val="22"/>
        </w:rPr>
        <w:t>–</w:t>
      </w:r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 Positioning Systems</w:t>
        </w:r>
      </w:hyperlink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12A5A">
        <w:rPr>
          <w:rFonts w:ascii="Arial" w:hAnsi="Arial" w:cs="Arial"/>
          <w:color w:val="2D2D2D"/>
          <w:sz w:val="22"/>
          <w:szCs w:val="22"/>
        </w:rPr>
        <w:t xml:space="preserve">ha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anunciado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disponibilidad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satelital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navegación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global (GNSS)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compacta de control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MC</w:t>
        </w:r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-</w:t>
        </w:r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Mobile</w:t>
        </w:r>
      </w:hyperlink>
      <w:r w:rsidRPr="00B12A5A">
        <w:rPr>
          <w:rFonts w:ascii="Arial" w:hAnsi="Arial" w:cs="Arial"/>
          <w:color w:val="2D2D2D"/>
          <w:sz w:val="22"/>
          <w:szCs w:val="22"/>
        </w:rPr>
        <w:t xml:space="preserve">.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completar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soluciones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GNSS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integrar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fácilmente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las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flotas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ya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utilizan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GNSS.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expansión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pone 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propietarios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minicargadoras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cargadoras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oruga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(CTL)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miniexcavadoras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amplia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oferta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opciones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control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presentada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hasta la 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fecha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>.</w:t>
      </w:r>
    </w:p>
    <w:p w14:paraId="3E4E8639" w14:textId="77777777" w:rsidR="00B12A5A" w:rsidRPr="00B12A5A" w:rsidRDefault="00B12A5A" w:rsidP="00B12A5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12A5A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Inicialmente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creamos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MC-Mobile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teniendo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al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contratista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pequeño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mediano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",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dijo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Murray Lodge,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ejecutivo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gerente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general de Topcon. "Al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trabajar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un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jalón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prisma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nuestro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instrumento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robótico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3D,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usuarios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la LN-150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miden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diseñan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construyen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fácilmente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propio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emplazamiento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3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1, al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tiempo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expanden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sus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capacidades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hacen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crecer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Ahora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GNSS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gerentes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flota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integrar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fácilmente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flujos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grandes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complejos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misma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modularidad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B12A5A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otra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facilidad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que ha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hecho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MC-Mobile uno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nuestros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productos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mencionados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año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pasado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. Tanto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posicionamiento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local (LPS)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versiones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fueron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posibles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gracias a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plataforma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MC-X”.</w:t>
      </w:r>
      <w:r w:rsidRPr="00B12A5A">
        <w:rPr>
          <w:rFonts w:ascii="Arial" w:hAnsi="Arial" w:cs="Arial"/>
          <w:color w:val="2D2D2D"/>
          <w:sz w:val="22"/>
          <w:szCs w:val="22"/>
        </w:rPr>
        <w:br/>
        <w:t> </w:t>
      </w:r>
      <w:r w:rsidRPr="00B12A5A">
        <w:rPr>
          <w:rFonts w:ascii="Arial" w:hAnsi="Arial" w:cs="Arial"/>
          <w:color w:val="2D2D2D"/>
          <w:sz w:val="22"/>
          <w:szCs w:val="22"/>
        </w:rPr>
        <w:br/>
        <w:t xml:space="preserve">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arquitectura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MC-X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combina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múltiples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tecnologías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comunicaciones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plataforma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conectividad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Sitelink3D,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compatibilidad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numerosos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sensores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elevación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IMU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receptores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GNSS,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adaptar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soluciones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directamente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al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flujo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contratista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así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maximizar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retorno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inversión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(ROI)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cada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fase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la 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operación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>.</w:t>
      </w:r>
    </w:p>
    <w:p w14:paraId="65801EFB" w14:textId="77777777" w:rsidR="00B12A5A" w:rsidRPr="00B12A5A" w:rsidRDefault="00B12A5A" w:rsidP="00B12A5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12A5A">
        <w:rPr>
          <w:rFonts w:ascii="Arial" w:hAnsi="Arial" w:cs="Arial"/>
          <w:color w:val="2D2D2D"/>
          <w:sz w:val="22"/>
          <w:szCs w:val="22"/>
        </w:rPr>
        <w:t xml:space="preserve">Toda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gama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productos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MC-X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lograr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control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sea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usar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asequible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variedad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. Vincula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flotas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mixtas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movimiento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tierras (de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tamaño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completo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compacto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),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pavimentación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asfalto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con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hormigón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ser a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vez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flexible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potente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con lo que se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adapta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todas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tipos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, y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rendimiento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velocidad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operadores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niveles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de 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especialización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>.</w:t>
      </w:r>
    </w:p>
    <w:p w14:paraId="7F31810F" w14:textId="77777777" w:rsidR="00B12A5A" w:rsidRPr="00B12A5A" w:rsidRDefault="00B12A5A" w:rsidP="00B12A5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12A5A">
        <w:rPr>
          <w:rFonts w:ascii="Arial" w:hAnsi="Arial" w:cs="Arial"/>
          <w:color w:val="2D2D2D"/>
          <w:sz w:val="22"/>
          <w:szCs w:val="22"/>
        </w:rPr>
        <w:t xml:space="preserve">Para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obtener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B12A5A">
        <w:rPr>
          <w:rFonts w:ascii="Arial" w:hAnsi="Arial" w:cs="Arial"/>
          <w:color w:val="2D2D2D"/>
          <w:sz w:val="22"/>
          <w:szCs w:val="22"/>
        </w:rPr>
        <w:t>, visite</w:t>
      </w:r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topconpositioning.com/es-gl/mc-mobile</w:t>
        </w:r>
      </w:hyperlink>
      <w:r w:rsidRPr="00B12A5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12A5A">
        <w:rPr>
          <w:rFonts w:ascii="Arial" w:hAnsi="Arial" w:cs="Arial"/>
          <w:color w:val="2D2D2D"/>
          <w:sz w:val="22"/>
          <w:szCs w:val="22"/>
        </w:rPr>
        <w:t>o </w:t>
      </w:r>
      <w:hyperlink r:id="rId10" w:history="1"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</w:t>
        </w:r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n</w:t>
        </w:r>
        <w:r w:rsidRPr="00B12A5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positioning.com/es-gl/mc-x</w:t>
        </w:r>
      </w:hyperlink>
      <w:r w:rsidRPr="00B12A5A">
        <w:rPr>
          <w:rFonts w:ascii="Arial" w:hAnsi="Arial" w:cs="Arial"/>
          <w:color w:val="2D2D2D"/>
          <w:sz w:val="22"/>
          <w:szCs w:val="22"/>
        </w:rPr>
        <w:t>.</w:t>
      </w:r>
    </w:p>
    <w:p w14:paraId="293122A6" w14:textId="77777777" w:rsidR="00B12A5A" w:rsidRPr="00B12A5A" w:rsidRDefault="00B12A5A" w:rsidP="00B12A5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B12A5A">
        <w:rPr>
          <w:rStyle w:val="Strong"/>
          <w:rFonts w:ascii="Arial" w:hAnsi="Arial" w:cs="Arial"/>
          <w:color w:val="2D2D2D"/>
          <w:sz w:val="16"/>
          <w:szCs w:val="16"/>
        </w:rPr>
        <w:t>Acerca</w:t>
      </w:r>
      <w:proofErr w:type="spellEnd"/>
      <w:r w:rsidRPr="00B12A5A">
        <w:rPr>
          <w:rStyle w:val="Strong"/>
          <w:rFonts w:ascii="Arial" w:hAnsi="Arial" w:cs="Arial"/>
          <w:color w:val="2D2D2D"/>
          <w:sz w:val="16"/>
          <w:szCs w:val="16"/>
        </w:rPr>
        <w:t xml:space="preserve"> de Topcon Positioning Group</w:t>
      </w:r>
      <w:r w:rsidRPr="00B12A5A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B12A5A">
        <w:rPr>
          <w:rFonts w:ascii="Arial" w:hAnsi="Arial" w:cs="Arial"/>
          <w:color w:val="2D2D2D"/>
          <w:sz w:val="16"/>
          <w:szCs w:val="16"/>
        </w:rPr>
        <w:br/>
        <w:t xml:space="preserve">Topcon Positioning Group,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empresa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puntera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tecnología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ventajas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el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, es uno de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principales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diseñadores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fabricantes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distribuidores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del sector que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suministra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soluciones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flujo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trabajo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precisión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la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medición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mundiales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ámbitos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de la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construcción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. Topcon Positioning Group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tiene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Livermore, California,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Estados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Unidos (</w:t>
      </w:r>
      <w:hyperlink r:id="rId11" w:history="1">
        <w:r w:rsidRPr="00B12A5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topconpositioning.com</w:t>
        </w:r>
      </w:hyperlink>
      <w:r w:rsidRPr="00B12A5A">
        <w:rPr>
          <w:rFonts w:ascii="Arial" w:hAnsi="Arial" w:cs="Arial"/>
          <w:color w:val="2D2D2D"/>
          <w:sz w:val="16"/>
          <w:szCs w:val="16"/>
        </w:rPr>
        <w:t>, </w:t>
      </w:r>
      <w:hyperlink r:id="rId12" w:history="1">
        <w:r w:rsidRPr="00B12A5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LinkedIn</w:t>
        </w:r>
      </w:hyperlink>
      <w:r w:rsidRPr="00B12A5A">
        <w:rPr>
          <w:rFonts w:ascii="Arial" w:hAnsi="Arial" w:cs="Arial"/>
          <w:color w:val="2D2D2D"/>
          <w:sz w:val="16"/>
          <w:szCs w:val="16"/>
        </w:rPr>
        <w:t>, </w:t>
      </w:r>
      <w:hyperlink r:id="rId13" w:history="1">
        <w:r w:rsidRPr="00B12A5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Twitter</w:t>
        </w:r>
      </w:hyperlink>
      <w:r w:rsidRPr="00B12A5A">
        <w:rPr>
          <w:rFonts w:ascii="Arial" w:hAnsi="Arial" w:cs="Arial"/>
          <w:color w:val="2D2D2D"/>
          <w:sz w:val="16"/>
          <w:szCs w:val="16"/>
        </w:rPr>
        <w:t>, </w:t>
      </w:r>
      <w:hyperlink r:id="rId14" w:history="1">
        <w:r w:rsidRPr="00B12A5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Facebook</w:t>
        </w:r>
      </w:hyperlink>
      <w:r w:rsidRPr="00B12A5A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oficina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principal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Europa se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encuentra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Bajos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. Topcon Corporation (topcon.com),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1932,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cotiza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 xml:space="preserve"> la Bolsa de </w:t>
      </w:r>
      <w:proofErr w:type="spellStart"/>
      <w:r w:rsidRPr="00B12A5A">
        <w:rPr>
          <w:rFonts w:ascii="Arial" w:hAnsi="Arial" w:cs="Arial"/>
          <w:color w:val="2D2D2D"/>
          <w:sz w:val="16"/>
          <w:szCs w:val="16"/>
        </w:rPr>
        <w:t>Tokio</w:t>
      </w:r>
      <w:proofErr w:type="spellEnd"/>
      <w:r w:rsidRPr="00B12A5A">
        <w:rPr>
          <w:rFonts w:ascii="Arial" w:hAnsi="Arial" w:cs="Arial"/>
          <w:color w:val="2D2D2D"/>
          <w:sz w:val="16"/>
          <w:szCs w:val="16"/>
        </w:rPr>
        <w:t> (7732).</w:t>
      </w:r>
    </w:p>
    <w:p w14:paraId="5D0AFA11" w14:textId="77777777" w:rsidR="00B12A5A" w:rsidRPr="00B12A5A" w:rsidRDefault="00B12A5A" w:rsidP="00B12A5A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B12A5A">
        <w:rPr>
          <w:rFonts w:ascii="Arial" w:hAnsi="Arial" w:cs="Arial"/>
          <w:color w:val="2D2D2D"/>
          <w:sz w:val="16"/>
          <w:szCs w:val="16"/>
        </w:rPr>
        <w:t># # #</w:t>
      </w:r>
    </w:p>
    <w:p w14:paraId="7944623C" w14:textId="7B8E02EE" w:rsidR="00DE5F29" w:rsidRPr="00B12A5A" w:rsidRDefault="00B12A5A" w:rsidP="00B12A5A">
      <w:pPr>
        <w:pStyle w:val="NormalWeb"/>
        <w:spacing w:before="0" w:beforeAutospacing="0" w:after="225" w:afterAutospacing="0"/>
        <w:rPr>
          <w:sz w:val="18"/>
          <w:szCs w:val="18"/>
        </w:rPr>
      </w:pPr>
      <w:proofErr w:type="spellStart"/>
      <w:r w:rsidRPr="00B12A5A">
        <w:rPr>
          <w:rStyle w:val="Strong"/>
          <w:rFonts w:ascii="Arial" w:hAnsi="Arial" w:cs="Arial"/>
          <w:color w:val="2D2D2D"/>
          <w:sz w:val="16"/>
          <w:szCs w:val="16"/>
        </w:rPr>
        <w:t>Contactos</w:t>
      </w:r>
      <w:proofErr w:type="spellEnd"/>
      <w:r w:rsidRPr="00B12A5A">
        <w:rPr>
          <w:rStyle w:val="Strong"/>
          <w:rFonts w:ascii="Arial" w:hAnsi="Arial" w:cs="Arial"/>
          <w:color w:val="2D2D2D"/>
          <w:sz w:val="16"/>
          <w:szCs w:val="16"/>
        </w:rPr>
        <w:t xml:space="preserve"> de </w:t>
      </w:r>
      <w:proofErr w:type="spellStart"/>
      <w:proofErr w:type="gramStart"/>
      <w:r w:rsidRPr="00B12A5A">
        <w:rPr>
          <w:rStyle w:val="Strong"/>
          <w:rFonts w:ascii="Arial" w:hAnsi="Arial" w:cs="Arial"/>
          <w:color w:val="2D2D2D"/>
          <w:sz w:val="16"/>
          <w:szCs w:val="16"/>
        </w:rPr>
        <w:t>prensa:</w:t>
      </w:r>
      <w:r w:rsidRPr="00B12A5A">
        <w:rPr>
          <w:rFonts w:ascii="Arial" w:hAnsi="Arial" w:cs="Arial"/>
          <w:color w:val="2D2D2D"/>
          <w:sz w:val="16"/>
          <w:szCs w:val="16"/>
        </w:rPr>
        <w:t>Staci</w:t>
      </w:r>
      <w:proofErr w:type="spellEnd"/>
      <w:proofErr w:type="gramEnd"/>
      <w:r w:rsidRPr="00B12A5A">
        <w:rPr>
          <w:rFonts w:ascii="Arial" w:hAnsi="Arial" w:cs="Arial"/>
          <w:color w:val="2D2D2D"/>
          <w:sz w:val="16"/>
          <w:szCs w:val="16"/>
        </w:rPr>
        <w:t xml:space="preserve"> Fitzgerald</w:t>
      </w:r>
      <w:r w:rsidRPr="00B12A5A">
        <w:rPr>
          <w:rFonts w:ascii="Arial" w:hAnsi="Arial" w:cs="Arial"/>
          <w:color w:val="2D2D2D"/>
          <w:sz w:val="16"/>
          <w:szCs w:val="16"/>
        </w:rPr>
        <w:br/>
        <w:t>Topcon Positioning Group</w:t>
      </w:r>
      <w:r w:rsidRPr="00B12A5A">
        <w:rPr>
          <w:rFonts w:ascii="Arial" w:hAnsi="Arial" w:cs="Arial"/>
          <w:color w:val="2D2D2D"/>
          <w:sz w:val="16"/>
          <w:szCs w:val="16"/>
        </w:rPr>
        <w:br/>
      </w:r>
      <w:hyperlink r:id="rId15" w:history="1">
        <w:r w:rsidRPr="00B12A5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corpcomm@topcon.com</w:t>
        </w:r>
      </w:hyperlink>
      <w:r w:rsidRPr="00B12A5A">
        <w:rPr>
          <w:rFonts w:ascii="Arial" w:hAnsi="Arial" w:cs="Arial"/>
          <w:color w:val="2D2D2D"/>
          <w:sz w:val="16"/>
          <w:szCs w:val="16"/>
        </w:rPr>
        <w:br/>
        <w:t>+1 925-245-8610</w:t>
      </w:r>
    </w:p>
    <w:sectPr w:rsidR="00DE5F29" w:rsidRPr="00B12A5A" w:rsidSect="004F3CA2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D293" w14:textId="77777777" w:rsidR="00F8131C" w:rsidRDefault="00F8131C" w:rsidP="00FC40E0">
      <w:pPr>
        <w:spacing w:after="0" w:line="240" w:lineRule="auto"/>
      </w:pPr>
      <w:r>
        <w:separator/>
      </w:r>
    </w:p>
  </w:endnote>
  <w:endnote w:type="continuationSeparator" w:id="0">
    <w:p w14:paraId="550DA55B" w14:textId="77777777" w:rsidR="00F8131C" w:rsidRDefault="00F8131C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759B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325B" w14:textId="77777777" w:rsidR="00F8131C" w:rsidRDefault="00F8131C" w:rsidP="00FC40E0">
      <w:pPr>
        <w:spacing w:after="0" w:line="240" w:lineRule="auto"/>
      </w:pPr>
      <w:r>
        <w:separator/>
      </w:r>
    </w:p>
  </w:footnote>
  <w:footnote w:type="continuationSeparator" w:id="0">
    <w:p w14:paraId="6A58EA2A" w14:textId="77777777" w:rsidR="00F8131C" w:rsidRDefault="00F8131C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F3A6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029232B" wp14:editId="6536F75E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1939860479" name="Picture 1939860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CCDAF" wp14:editId="69BAD7C5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F4801A" w14:textId="77777777" w:rsidR="00D251C3" w:rsidRPr="00FC40E0" w:rsidRDefault="00D251C3" w:rsidP="00D251C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3E2D362B" w14:textId="6DBB100D" w:rsidR="00FC40E0" w:rsidRPr="00FC40E0" w:rsidRDefault="00FC40E0" w:rsidP="00C632BF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CC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3FF4801A" w14:textId="77777777" w:rsidR="00D251C3" w:rsidRPr="00FC40E0" w:rsidRDefault="00D251C3" w:rsidP="00D251C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3E2D362B" w14:textId="6DBB100D" w:rsidR="00FC40E0" w:rsidRPr="00FC40E0" w:rsidRDefault="00FC40E0" w:rsidP="00C632BF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019E5" wp14:editId="28FE486D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717E1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" fillcolor="#f4f4f4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61B68"/>
    <w:multiLevelType w:val="hybridMultilevel"/>
    <w:tmpl w:val="371E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36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C2"/>
    <w:rsid w:val="00035F5A"/>
    <w:rsid w:val="00041AE7"/>
    <w:rsid w:val="000638E1"/>
    <w:rsid w:val="00083167"/>
    <w:rsid w:val="0008794A"/>
    <w:rsid w:val="00093AD0"/>
    <w:rsid w:val="000A5A91"/>
    <w:rsid w:val="000C2EAC"/>
    <w:rsid w:val="000C5FE5"/>
    <w:rsid w:val="000D7DE2"/>
    <w:rsid w:val="000E7845"/>
    <w:rsid w:val="00112DFE"/>
    <w:rsid w:val="00135229"/>
    <w:rsid w:val="00153A36"/>
    <w:rsid w:val="00172F6E"/>
    <w:rsid w:val="00193A53"/>
    <w:rsid w:val="001B1650"/>
    <w:rsid w:val="001C25C5"/>
    <w:rsid w:val="001E1371"/>
    <w:rsid w:val="00201587"/>
    <w:rsid w:val="00216381"/>
    <w:rsid w:val="002211D3"/>
    <w:rsid w:val="00255E55"/>
    <w:rsid w:val="00257627"/>
    <w:rsid w:val="00261626"/>
    <w:rsid w:val="002720E4"/>
    <w:rsid w:val="00274126"/>
    <w:rsid w:val="00284BD5"/>
    <w:rsid w:val="0029557F"/>
    <w:rsid w:val="002A1F7A"/>
    <w:rsid w:val="002E0CEE"/>
    <w:rsid w:val="002E1D4C"/>
    <w:rsid w:val="002E2FBB"/>
    <w:rsid w:val="002E58EC"/>
    <w:rsid w:val="002E5FD7"/>
    <w:rsid w:val="00322585"/>
    <w:rsid w:val="00323434"/>
    <w:rsid w:val="00350A23"/>
    <w:rsid w:val="00372B4F"/>
    <w:rsid w:val="00381FF8"/>
    <w:rsid w:val="00390BE8"/>
    <w:rsid w:val="003C49B8"/>
    <w:rsid w:val="003D0BCF"/>
    <w:rsid w:val="003D370B"/>
    <w:rsid w:val="003E1EE6"/>
    <w:rsid w:val="003F451D"/>
    <w:rsid w:val="003F5B9B"/>
    <w:rsid w:val="004039F1"/>
    <w:rsid w:val="00405899"/>
    <w:rsid w:val="00407D0A"/>
    <w:rsid w:val="004373D3"/>
    <w:rsid w:val="00440289"/>
    <w:rsid w:val="00451F8F"/>
    <w:rsid w:val="00457F6A"/>
    <w:rsid w:val="004A6B78"/>
    <w:rsid w:val="004B2CA9"/>
    <w:rsid w:val="004D309F"/>
    <w:rsid w:val="004D3846"/>
    <w:rsid w:val="004E665B"/>
    <w:rsid w:val="004F3CA2"/>
    <w:rsid w:val="00501377"/>
    <w:rsid w:val="0051361C"/>
    <w:rsid w:val="00515AFB"/>
    <w:rsid w:val="005371AE"/>
    <w:rsid w:val="00561A23"/>
    <w:rsid w:val="00561D02"/>
    <w:rsid w:val="0059289C"/>
    <w:rsid w:val="005A6747"/>
    <w:rsid w:val="005B511D"/>
    <w:rsid w:val="005C757C"/>
    <w:rsid w:val="00604774"/>
    <w:rsid w:val="006232CB"/>
    <w:rsid w:val="00662BDA"/>
    <w:rsid w:val="00665706"/>
    <w:rsid w:val="00676FCE"/>
    <w:rsid w:val="006838E4"/>
    <w:rsid w:val="0068559E"/>
    <w:rsid w:val="006A4DA6"/>
    <w:rsid w:val="006A5CE0"/>
    <w:rsid w:val="006B5CB8"/>
    <w:rsid w:val="006B67AD"/>
    <w:rsid w:val="006C0499"/>
    <w:rsid w:val="006D5B2F"/>
    <w:rsid w:val="006F028B"/>
    <w:rsid w:val="006F3B71"/>
    <w:rsid w:val="00703EBE"/>
    <w:rsid w:val="00724214"/>
    <w:rsid w:val="007408B3"/>
    <w:rsid w:val="00760C9B"/>
    <w:rsid w:val="00764480"/>
    <w:rsid w:val="007656F7"/>
    <w:rsid w:val="00772511"/>
    <w:rsid w:val="007841C2"/>
    <w:rsid w:val="007A3556"/>
    <w:rsid w:val="007A62A1"/>
    <w:rsid w:val="007F5B5F"/>
    <w:rsid w:val="00811CC7"/>
    <w:rsid w:val="00815A00"/>
    <w:rsid w:val="008175BE"/>
    <w:rsid w:val="008371A8"/>
    <w:rsid w:val="0084029A"/>
    <w:rsid w:val="008402B3"/>
    <w:rsid w:val="00841351"/>
    <w:rsid w:val="00851ECA"/>
    <w:rsid w:val="008716AF"/>
    <w:rsid w:val="00880DD0"/>
    <w:rsid w:val="008850D5"/>
    <w:rsid w:val="00891CDD"/>
    <w:rsid w:val="008B439B"/>
    <w:rsid w:val="008B6868"/>
    <w:rsid w:val="008C0246"/>
    <w:rsid w:val="008C1DF0"/>
    <w:rsid w:val="008D1A62"/>
    <w:rsid w:val="008D1BE1"/>
    <w:rsid w:val="00901932"/>
    <w:rsid w:val="009071C5"/>
    <w:rsid w:val="00914196"/>
    <w:rsid w:val="009216C2"/>
    <w:rsid w:val="00926E65"/>
    <w:rsid w:val="00930517"/>
    <w:rsid w:val="00932618"/>
    <w:rsid w:val="0096651A"/>
    <w:rsid w:val="00980EAF"/>
    <w:rsid w:val="0099395D"/>
    <w:rsid w:val="009A2270"/>
    <w:rsid w:val="009B7D7E"/>
    <w:rsid w:val="009C1DF3"/>
    <w:rsid w:val="009E030A"/>
    <w:rsid w:val="00A16AEA"/>
    <w:rsid w:val="00A5587E"/>
    <w:rsid w:val="00A72BF6"/>
    <w:rsid w:val="00A7785B"/>
    <w:rsid w:val="00AC63E0"/>
    <w:rsid w:val="00AE09E2"/>
    <w:rsid w:val="00AE33E9"/>
    <w:rsid w:val="00AF5517"/>
    <w:rsid w:val="00B059AC"/>
    <w:rsid w:val="00B05AC2"/>
    <w:rsid w:val="00B07741"/>
    <w:rsid w:val="00B12A5A"/>
    <w:rsid w:val="00B3054D"/>
    <w:rsid w:val="00B3125E"/>
    <w:rsid w:val="00B55A1F"/>
    <w:rsid w:val="00B63546"/>
    <w:rsid w:val="00B67B07"/>
    <w:rsid w:val="00B712F8"/>
    <w:rsid w:val="00B923E1"/>
    <w:rsid w:val="00B95D6E"/>
    <w:rsid w:val="00BB0EBA"/>
    <w:rsid w:val="00BF2667"/>
    <w:rsid w:val="00C06928"/>
    <w:rsid w:val="00C07D51"/>
    <w:rsid w:val="00C127EE"/>
    <w:rsid w:val="00C167CA"/>
    <w:rsid w:val="00C22A9B"/>
    <w:rsid w:val="00C632BF"/>
    <w:rsid w:val="00CA4C07"/>
    <w:rsid w:val="00CD0FDF"/>
    <w:rsid w:val="00CD4DC2"/>
    <w:rsid w:val="00CF52B6"/>
    <w:rsid w:val="00D06BB7"/>
    <w:rsid w:val="00D13CD8"/>
    <w:rsid w:val="00D14F7F"/>
    <w:rsid w:val="00D16DDB"/>
    <w:rsid w:val="00D22B14"/>
    <w:rsid w:val="00D251C3"/>
    <w:rsid w:val="00D63632"/>
    <w:rsid w:val="00D66259"/>
    <w:rsid w:val="00D66BE2"/>
    <w:rsid w:val="00DA322B"/>
    <w:rsid w:val="00DB71BB"/>
    <w:rsid w:val="00DC0746"/>
    <w:rsid w:val="00DE5F29"/>
    <w:rsid w:val="00E10095"/>
    <w:rsid w:val="00E104D7"/>
    <w:rsid w:val="00E13C86"/>
    <w:rsid w:val="00E235CF"/>
    <w:rsid w:val="00E7293D"/>
    <w:rsid w:val="00E92F31"/>
    <w:rsid w:val="00EA5E95"/>
    <w:rsid w:val="00EC67F9"/>
    <w:rsid w:val="00F06345"/>
    <w:rsid w:val="00F07AF5"/>
    <w:rsid w:val="00F07EE8"/>
    <w:rsid w:val="00F125C2"/>
    <w:rsid w:val="00F125D6"/>
    <w:rsid w:val="00F55DFC"/>
    <w:rsid w:val="00F57125"/>
    <w:rsid w:val="00F8131C"/>
    <w:rsid w:val="00F81F5C"/>
    <w:rsid w:val="00F85862"/>
    <w:rsid w:val="00FA1EFF"/>
    <w:rsid w:val="00FA4779"/>
    <w:rsid w:val="00FC40E0"/>
    <w:rsid w:val="00FD18A2"/>
    <w:rsid w:val="00FD70C0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1394D"/>
  <w15:chartTrackingRefBased/>
  <w15:docId w15:val="{8A2C6349-74E3-BB47-9845-23A88ED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7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0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1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3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25D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1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2A5A"/>
    <w:rPr>
      <w:i/>
      <w:iCs/>
    </w:rPr>
  </w:style>
  <w:style w:type="character" w:customStyle="1" w:styleId="apple-converted-space">
    <w:name w:val="apple-converted-space"/>
    <w:basedOn w:val="DefaultParagraphFont"/>
    <w:rsid w:val="00B12A5A"/>
  </w:style>
  <w:style w:type="paragraph" w:customStyle="1" w:styleId="rtecenter">
    <w:name w:val="rtecenter"/>
    <w:basedOn w:val="Normal"/>
    <w:rsid w:val="00B1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1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es-gl/control-de-maquinaria/compact-machines/mc-mobile" TargetMode="External"/><Relationship Id="rId13" Type="http://schemas.openxmlformats.org/officeDocument/2006/relationships/hyperlink" Target="https://twitter.com/topcon_toda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opconpositioning.com/es-gl/" TargetMode="External"/><Relationship Id="rId12" Type="http://schemas.openxmlformats.org/officeDocument/2006/relationships/hyperlink" Target="https://www.linkedin.com/company/topcon-positioning-system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opconpositioning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rpcomm@topcon.com" TargetMode="External"/><Relationship Id="rId10" Type="http://schemas.openxmlformats.org/officeDocument/2006/relationships/hyperlink" Target="https://www.topconpositioning.com/es-gl/por-qu%C3%A9-mc-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es-gl/control-de-maquinaria/compact-machines/mc-mobile" TargetMode="External"/><Relationship Id="rId14" Type="http://schemas.openxmlformats.org/officeDocument/2006/relationships/hyperlink" Target="https://www.facebook.com/TopconToda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2</cp:revision>
  <dcterms:created xsi:type="dcterms:W3CDTF">2023-06-30T13:31:00Z</dcterms:created>
  <dcterms:modified xsi:type="dcterms:W3CDTF">2023-06-30T13:31:00Z</dcterms:modified>
</cp:coreProperties>
</file>