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53000B88" w14:textId="6DD5B0CB" w:rsidR="00904D6C" w:rsidRPr="00B75A7F" w:rsidRDefault="00BB78BB" w:rsidP="00B75A7F">
      <w:pPr>
        <w:jc w:val="center"/>
        <w:rPr>
          <w:rFonts w:ascii="Arial" w:hAnsi="Arial" w:cs="Arial"/>
          <w:b/>
          <w:color w:val="007DC5"/>
          <w:sz w:val="32"/>
        </w:rPr>
      </w:pPr>
      <w:r w:rsidRPr="00FB0E1E">
        <w:rPr>
          <w:rFonts w:ascii="Arial" w:hAnsi="Arial" w:cs="Arial"/>
          <w:b/>
          <w:color w:val="007DC5"/>
          <w:sz w:val="32"/>
        </w:rPr>
        <w:t xml:space="preserve">  </w:t>
      </w:r>
    </w:p>
    <w:p w14:paraId="3B1CEEC3" w14:textId="5C0AC77E" w:rsidR="009B59CD" w:rsidRPr="00904D6C" w:rsidRDefault="00904D6C" w:rsidP="00904D6C">
      <w:pPr>
        <w:jc w:val="center"/>
        <w:rPr>
          <w:rFonts w:ascii="Arial" w:hAnsi="Arial" w:cs="Arial"/>
          <w:b/>
          <w:color w:val="007DC5"/>
          <w:sz w:val="36"/>
        </w:rPr>
      </w:pPr>
      <w:r w:rsidRPr="00904D6C">
        <w:rPr>
          <w:rFonts w:ascii="Arial" w:hAnsi="Arial" w:cs="Arial"/>
          <w:b/>
          <w:color w:val="007DC5"/>
          <w:sz w:val="36"/>
        </w:rPr>
        <w:t xml:space="preserve">Topcon accepts John Deere Supplier </w:t>
      </w:r>
      <w:r>
        <w:rPr>
          <w:rFonts w:ascii="Arial" w:hAnsi="Arial" w:cs="Arial"/>
          <w:b/>
          <w:color w:val="007DC5"/>
          <w:sz w:val="36"/>
        </w:rPr>
        <w:br/>
      </w:r>
      <w:r w:rsidRPr="00904D6C">
        <w:rPr>
          <w:rFonts w:ascii="Arial" w:hAnsi="Arial" w:cs="Arial"/>
          <w:b/>
          <w:color w:val="007DC5"/>
          <w:sz w:val="36"/>
        </w:rPr>
        <w:t>Innovation Awar</w:t>
      </w:r>
      <w:r>
        <w:rPr>
          <w:rFonts w:ascii="Arial" w:hAnsi="Arial" w:cs="Arial"/>
          <w:b/>
          <w:color w:val="007DC5"/>
          <w:sz w:val="36"/>
        </w:rPr>
        <w:t>d</w:t>
      </w:r>
    </w:p>
    <w:p w14:paraId="1231747C" w14:textId="77777777" w:rsidR="00C076B8" w:rsidRPr="00904D6C" w:rsidRDefault="00C076B8" w:rsidP="00F96246">
      <w:pPr>
        <w:jc w:val="center"/>
        <w:rPr>
          <w:rFonts w:ascii="Arial" w:hAnsi="Arial" w:cs="Arial"/>
          <w:b/>
          <w:color w:val="007AC2"/>
          <w:sz w:val="16"/>
        </w:rPr>
      </w:pPr>
    </w:p>
    <w:p w14:paraId="07B3C90B" w14:textId="249844AD" w:rsidR="00904D6C" w:rsidRPr="00904D6C" w:rsidRDefault="00904D6C" w:rsidP="00904D6C">
      <w:pPr>
        <w:rPr>
          <w:rFonts w:ascii="Arial" w:hAnsi="Arial" w:cs="Arial"/>
          <w:szCs w:val="20"/>
        </w:rPr>
      </w:pPr>
      <w:r w:rsidRPr="00904D6C">
        <w:rPr>
          <w:rFonts w:ascii="Arial" w:hAnsi="Arial" w:cs="Arial"/>
          <w:i/>
          <w:szCs w:val="20"/>
        </w:rPr>
        <w:t xml:space="preserve">LIVERMORE, Calif., U.S./ CAPELLE A/D IJSSEL, the Netherlands – </w:t>
      </w:r>
      <w:r w:rsidR="00B75A7F" w:rsidRPr="00B75A7F">
        <w:rPr>
          <w:rFonts w:ascii="Arial" w:hAnsi="Arial" w:cs="Arial"/>
          <w:i/>
          <w:szCs w:val="20"/>
        </w:rPr>
        <w:t>May 14, 2019</w:t>
      </w:r>
      <w:r w:rsidRPr="00B75A7F">
        <w:rPr>
          <w:rFonts w:ascii="Arial" w:hAnsi="Arial" w:cs="Arial"/>
          <w:i/>
          <w:szCs w:val="20"/>
        </w:rPr>
        <w:t xml:space="preserve"> </w:t>
      </w:r>
      <w:r w:rsidRPr="00904D6C">
        <w:rPr>
          <w:rFonts w:ascii="Arial" w:hAnsi="Arial" w:cs="Arial"/>
          <w:i/>
          <w:szCs w:val="20"/>
        </w:rPr>
        <w:t xml:space="preserve">– </w:t>
      </w:r>
      <w:r w:rsidRPr="00904D6C">
        <w:rPr>
          <w:rFonts w:ascii="Arial" w:hAnsi="Arial" w:cs="Arial"/>
          <w:szCs w:val="20"/>
        </w:rPr>
        <w:t xml:space="preserve">Topcon Positioning Systems has been selected as a recipient of the John Deere Innovation award for 2018. The Innovation awards are part of Deere &amp; Company’s Achieving Excellence program. The Livermore-based company received the honor for demonstrating innovation in development of </w:t>
      </w:r>
      <w:r w:rsidR="00FC74C6">
        <w:rPr>
          <w:rFonts w:ascii="Arial" w:hAnsi="Arial" w:cs="Arial"/>
          <w:szCs w:val="20"/>
        </w:rPr>
        <w:t xml:space="preserve">the </w:t>
      </w:r>
      <w:proofErr w:type="spellStart"/>
      <w:r w:rsidRPr="00904D6C">
        <w:rPr>
          <w:rFonts w:ascii="Arial" w:hAnsi="Arial" w:cs="Arial"/>
          <w:szCs w:val="20"/>
        </w:rPr>
        <w:t>SmartGrade</w:t>
      </w:r>
      <w:proofErr w:type="spellEnd"/>
      <w:r w:rsidRPr="00904D6C">
        <w:rPr>
          <w:rFonts w:ascii="Arial" w:hAnsi="Arial" w:cs="Arial"/>
          <w:szCs w:val="20"/>
        </w:rPr>
        <w:t xml:space="preserve">™ </w:t>
      </w:r>
      <w:proofErr w:type="spellStart"/>
      <w:r w:rsidRPr="00904D6C">
        <w:rPr>
          <w:rFonts w:ascii="Arial" w:hAnsi="Arial" w:cs="Arial"/>
          <w:szCs w:val="20"/>
        </w:rPr>
        <w:t>mastless</w:t>
      </w:r>
      <w:proofErr w:type="spellEnd"/>
      <w:r w:rsidRPr="00904D6C">
        <w:rPr>
          <w:rFonts w:ascii="Arial" w:hAnsi="Arial" w:cs="Arial"/>
          <w:szCs w:val="20"/>
        </w:rPr>
        <w:t xml:space="preserve"> grade control system for John Deere motor graders. Sam </w:t>
      </w:r>
      <w:proofErr w:type="spellStart"/>
      <w:r w:rsidRPr="00904D6C">
        <w:rPr>
          <w:rFonts w:ascii="Arial" w:hAnsi="Arial" w:cs="Arial"/>
          <w:szCs w:val="20"/>
        </w:rPr>
        <w:t>Negasc</w:t>
      </w:r>
      <w:proofErr w:type="spellEnd"/>
      <w:r w:rsidRPr="00904D6C">
        <w:rPr>
          <w:rFonts w:ascii="Arial" w:hAnsi="Arial" w:cs="Arial"/>
          <w:szCs w:val="20"/>
        </w:rPr>
        <w:t xml:space="preserve">, Topcon director of quality assurance, </w:t>
      </w:r>
      <w:r w:rsidR="00C260AD">
        <w:rPr>
          <w:rFonts w:ascii="Arial" w:hAnsi="Arial" w:cs="Arial"/>
          <w:szCs w:val="20"/>
        </w:rPr>
        <w:t xml:space="preserve">along with </w:t>
      </w:r>
      <w:proofErr w:type="spellStart"/>
      <w:r w:rsidR="00C260AD" w:rsidRPr="00C260AD">
        <w:rPr>
          <w:rFonts w:ascii="Arial" w:hAnsi="Arial" w:cs="Arial"/>
          <w:szCs w:val="20"/>
        </w:rPr>
        <w:t>Rhondy</w:t>
      </w:r>
      <w:proofErr w:type="spellEnd"/>
      <w:r w:rsidR="00C260AD" w:rsidRPr="00C260AD">
        <w:rPr>
          <w:rFonts w:ascii="Arial" w:hAnsi="Arial" w:cs="Arial"/>
          <w:szCs w:val="20"/>
        </w:rPr>
        <w:t xml:space="preserve"> </w:t>
      </w:r>
      <w:proofErr w:type="spellStart"/>
      <w:r w:rsidR="00C260AD" w:rsidRPr="00C260AD">
        <w:rPr>
          <w:rFonts w:ascii="Arial" w:hAnsi="Arial" w:cs="Arial"/>
          <w:szCs w:val="20"/>
        </w:rPr>
        <w:t>Rahardja</w:t>
      </w:r>
      <w:proofErr w:type="spellEnd"/>
      <w:r w:rsidR="00C260AD" w:rsidRPr="00C260AD">
        <w:rPr>
          <w:rFonts w:ascii="Arial" w:hAnsi="Arial" w:cs="Arial"/>
          <w:szCs w:val="20"/>
        </w:rPr>
        <w:t xml:space="preserve">, Nick </w:t>
      </w:r>
      <w:proofErr w:type="spellStart"/>
      <w:r w:rsidR="00C260AD" w:rsidRPr="00C260AD">
        <w:rPr>
          <w:rFonts w:ascii="Arial" w:hAnsi="Arial" w:cs="Arial"/>
          <w:szCs w:val="20"/>
        </w:rPr>
        <w:t>Petrosov</w:t>
      </w:r>
      <w:proofErr w:type="spellEnd"/>
      <w:r w:rsidR="00C260AD" w:rsidRPr="00C260AD">
        <w:rPr>
          <w:rFonts w:ascii="Arial" w:hAnsi="Arial" w:cs="Arial"/>
          <w:szCs w:val="20"/>
        </w:rPr>
        <w:t xml:space="preserve">, </w:t>
      </w:r>
      <w:r w:rsidR="00B220A5">
        <w:rPr>
          <w:rFonts w:ascii="Arial" w:hAnsi="Arial" w:cs="Arial"/>
          <w:szCs w:val="20"/>
        </w:rPr>
        <w:t xml:space="preserve">and </w:t>
      </w:r>
      <w:bookmarkStart w:id="0" w:name="_GoBack"/>
      <w:bookmarkEnd w:id="0"/>
      <w:r w:rsidR="00C260AD" w:rsidRPr="00C260AD">
        <w:rPr>
          <w:rFonts w:ascii="Arial" w:hAnsi="Arial" w:cs="Arial"/>
          <w:szCs w:val="20"/>
        </w:rPr>
        <w:t>Irfan Usman</w:t>
      </w:r>
      <w:r w:rsidR="00C260AD">
        <w:rPr>
          <w:rFonts w:ascii="Arial" w:hAnsi="Arial" w:cs="Arial"/>
          <w:szCs w:val="20"/>
        </w:rPr>
        <w:t xml:space="preserve"> from Topcon </w:t>
      </w:r>
      <w:r w:rsidRPr="00904D6C">
        <w:rPr>
          <w:rFonts w:ascii="Arial" w:hAnsi="Arial" w:cs="Arial"/>
          <w:szCs w:val="20"/>
        </w:rPr>
        <w:t>accepted the recognition during formal ceremonies held on April 16, 2019 in Bettendorf, Iowa.</w:t>
      </w:r>
    </w:p>
    <w:p w14:paraId="17345482" w14:textId="77777777" w:rsidR="00904D6C" w:rsidRPr="00904D6C" w:rsidRDefault="00904D6C" w:rsidP="00904D6C">
      <w:pPr>
        <w:rPr>
          <w:rFonts w:ascii="Arial" w:hAnsi="Arial" w:cs="Arial"/>
          <w:szCs w:val="20"/>
        </w:rPr>
      </w:pPr>
    </w:p>
    <w:p w14:paraId="4D9ACAD4" w14:textId="4B4545BB" w:rsidR="00904D6C" w:rsidRPr="00904D6C" w:rsidRDefault="00904D6C" w:rsidP="00904D6C">
      <w:pPr>
        <w:rPr>
          <w:rFonts w:ascii="Arial" w:hAnsi="Arial" w:cs="Arial"/>
          <w:szCs w:val="20"/>
        </w:rPr>
      </w:pPr>
      <w:r w:rsidRPr="00904D6C">
        <w:rPr>
          <w:rFonts w:ascii="Arial" w:hAnsi="Arial" w:cs="Arial"/>
          <w:szCs w:val="20"/>
        </w:rPr>
        <w:t xml:space="preserve">Murray Lodge, SVP of Topcon Construction, said, “We are proud to have collaborated with John Deere to deliver a differentiated product to the market that maximizes speed and control for motor graders. </w:t>
      </w:r>
      <w:r w:rsidRPr="00904D6C">
        <w:rPr>
          <w:rFonts w:ascii="Arial" w:hAnsi="Arial" w:cs="Arial"/>
          <w:bCs/>
          <w:iCs/>
          <w:szCs w:val="20"/>
        </w:rPr>
        <w:t>Topcon is committed to being one step ahead in</w:t>
      </w:r>
      <w:r w:rsidR="00896B5F">
        <w:rPr>
          <w:rFonts w:ascii="Arial" w:hAnsi="Arial" w:cs="Arial"/>
          <w:bCs/>
          <w:iCs/>
          <w:szCs w:val="20"/>
        </w:rPr>
        <w:t xml:space="preserve"> </w:t>
      </w:r>
      <w:r w:rsidRPr="00904D6C">
        <w:rPr>
          <w:rFonts w:ascii="Arial" w:hAnsi="Arial" w:cs="Arial"/>
          <w:bCs/>
          <w:iCs/>
          <w:szCs w:val="20"/>
        </w:rPr>
        <w:t xml:space="preserve">providing solutions at the forefront of technological innovation for growing infrastructure needs.” </w:t>
      </w:r>
    </w:p>
    <w:p w14:paraId="46640B6B" w14:textId="77777777" w:rsidR="00904D6C" w:rsidRPr="00904D6C" w:rsidRDefault="00904D6C" w:rsidP="00904D6C">
      <w:pPr>
        <w:rPr>
          <w:rFonts w:ascii="Arial" w:hAnsi="Arial" w:cs="Arial"/>
          <w:szCs w:val="20"/>
        </w:rPr>
      </w:pPr>
    </w:p>
    <w:p w14:paraId="16283A69" w14:textId="3AC69849" w:rsidR="00904D6C" w:rsidRPr="00904D6C" w:rsidRDefault="00904D6C" w:rsidP="00904D6C">
      <w:pPr>
        <w:rPr>
          <w:rFonts w:ascii="Arial" w:hAnsi="Arial" w:cs="Arial"/>
          <w:szCs w:val="20"/>
        </w:rPr>
      </w:pPr>
      <w:r w:rsidRPr="00904D6C">
        <w:rPr>
          <w:rFonts w:ascii="Arial" w:hAnsi="Arial" w:cs="Arial"/>
          <w:szCs w:val="20"/>
        </w:rPr>
        <w:t>Innovation award selections are based on four factors – creativity, feasibility, collaboration and bottom-line impact. John Deere Supply Management created the Achieving Excellence program in 1991 to provide a supplier evaluation and feedback process that promotes continuous improvement.</w:t>
      </w:r>
    </w:p>
    <w:p w14:paraId="20558478" w14:textId="77777777" w:rsidR="00904D6C" w:rsidRPr="00904D6C" w:rsidRDefault="00904D6C" w:rsidP="00904D6C">
      <w:pPr>
        <w:rPr>
          <w:rFonts w:ascii="Arial" w:hAnsi="Arial" w:cs="Arial"/>
          <w:szCs w:val="20"/>
        </w:rPr>
      </w:pPr>
    </w:p>
    <w:p w14:paraId="0BC7BD86" w14:textId="77777777" w:rsidR="00904D6C" w:rsidRPr="00904D6C" w:rsidRDefault="00904D6C" w:rsidP="00904D6C">
      <w:pPr>
        <w:rPr>
          <w:rFonts w:ascii="Arial" w:hAnsi="Arial" w:cs="Arial"/>
          <w:szCs w:val="20"/>
        </w:rPr>
      </w:pPr>
      <w:r w:rsidRPr="00904D6C">
        <w:rPr>
          <w:rFonts w:ascii="Arial" w:hAnsi="Arial" w:cs="Arial"/>
          <w:szCs w:val="20"/>
        </w:rPr>
        <w:t xml:space="preserve">For more information, visit Topcon at </w:t>
      </w:r>
      <w:hyperlink r:id="rId8" w:history="1">
        <w:r w:rsidRPr="00904D6C">
          <w:rPr>
            <w:rStyle w:val="Hyperlink"/>
            <w:rFonts w:ascii="Arial" w:hAnsi="Arial" w:cs="Arial"/>
            <w:szCs w:val="20"/>
          </w:rPr>
          <w:t>topconpositioning.com</w:t>
        </w:r>
      </w:hyperlink>
      <w:r w:rsidRPr="00904D6C">
        <w:rPr>
          <w:rFonts w:ascii="Arial" w:hAnsi="Arial" w:cs="Arial"/>
          <w:szCs w:val="20"/>
        </w:rPr>
        <w:t>, always one step ahead in technology and customer benefits.</w:t>
      </w:r>
    </w:p>
    <w:p w14:paraId="1553AD37" w14:textId="058EC144" w:rsidR="00F64C2D" w:rsidRPr="00904D6C" w:rsidRDefault="00F64C2D" w:rsidP="00EE24FF">
      <w:pPr>
        <w:rPr>
          <w:rFonts w:ascii="Arial" w:hAnsi="Arial" w:cs="Arial"/>
          <w:sz w:val="20"/>
          <w:szCs w:val="20"/>
        </w:rPr>
      </w:pPr>
    </w:p>
    <w:p w14:paraId="6A91FB4E" w14:textId="77777777" w:rsidR="00904D6C" w:rsidRDefault="00904D6C" w:rsidP="00904D6C">
      <w:pPr>
        <w:rPr>
          <w:rFonts w:ascii="Arial" w:hAnsi="Arial" w:cs="Arial"/>
          <w:b/>
          <w:color w:val="808080" w:themeColor="background1" w:themeShade="80"/>
          <w:sz w:val="16"/>
          <w:szCs w:val="16"/>
        </w:rPr>
      </w:pPr>
    </w:p>
    <w:p w14:paraId="65CCFA0D" w14:textId="215C3CB7" w:rsidR="00904D6C" w:rsidRPr="00904D6C" w:rsidRDefault="003A1037" w:rsidP="00904D6C">
      <w:pPr>
        <w:rPr>
          <w:rFonts w:ascii="Arial" w:hAnsi="Arial" w:cs="Arial"/>
          <w:bCs/>
          <w:color w:val="808080" w:themeColor="background1" w:themeShade="80"/>
          <w:sz w:val="16"/>
          <w:szCs w:val="16"/>
        </w:rPr>
      </w:pPr>
      <w:r w:rsidRPr="00904D6C">
        <w:rPr>
          <w:rFonts w:ascii="Arial" w:hAnsi="Arial" w:cs="Arial"/>
          <w:b/>
          <w:color w:val="808080" w:themeColor="background1" w:themeShade="80"/>
          <w:sz w:val="16"/>
          <w:szCs w:val="16"/>
        </w:rPr>
        <w:t xml:space="preserve">About Topcon Positioning Group </w:t>
      </w:r>
      <w:r w:rsidR="00F61E29" w:rsidRPr="00904D6C">
        <w:rPr>
          <w:rFonts w:ascii="Arial" w:hAnsi="Arial" w:cs="Arial"/>
          <w:b/>
          <w:color w:val="808080" w:themeColor="background1" w:themeShade="80"/>
          <w:sz w:val="16"/>
          <w:szCs w:val="16"/>
        </w:rPr>
        <w:br/>
      </w:r>
      <w:r w:rsidR="00904D6C" w:rsidRPr="00904D6C">
        <w:rPr>
          <w:rFonts w:ascii="Arial" w:hAnsi="Arial" w:cs="Arial"/>
          <w:bCs/>
          <w:color w:val="808080" w:themeColor="background1" w:themeShade="80"/>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9" w:history="1">
        <w:r w:rsidR="00904D6C" w:rsidRPr="00904D6C">
          <w:rPr>
            <w:rStyle w:val="Hyperlink"/>
            <w:rFonts w:ascii="Arial" w:hAnsi="Arial" w:cs="Arial"/>
            <w:bCs/>
            <w:sz w:val="16"/>
            <w:szCs w:val="16"/>
          </w:rPr>
          <w:t>topconpositioning.com</w:t>
        </w:r>
      </w:hyperlink>
      <w:r w:rsidR="00904D6C" w:rsidRPr="00904D6C">
        <w:rPr>
          <w:rFonts w:ascii="Arial" w:hAnsi="Arial" w:cs="Arial"/>
          <w:bCs/>
          <w:color w:val="808080" w:themeColor="background1" w:themeShade="80"/>
          <w:sz w:val="16"/>
          <w:szCs w:val="16"/>
        </w:rPr>
        <w:t xml:space="preserve">, </w:t>
      </w:r>
      <w:hyperlink r:id="rId10" w:history="1">
        <w:r w:rsidR="00904D6C" w:rsidRPr="00904D6C">
          <w:rPr>
            <w:rStyle w:val="Hyperlink"/>
            <w:rFonts w:ascii="Arial" w:hAnsi="Arial" w:cs="Arial"/>
            <w:bCs/>
            <w:sz w:val="16"/>
            <w:szCs w:val="16"/>
          </w:rPr>
          <w:t>LinkedIn</w:t>
        </w:r>
      </w:hyperlink>
      <w:r w:rsidR="00904D6C" w:rsidRPr="00904D6C">
        <w:rPr>
          <w:rFonts w:ascii="Arial" w:hAnsi="Arial" w:cs="Arial"/>
          <w:bCs/>
          <w:color w:val="808080" w:themeColor="background1" w:themeShade="80"/>
          <w:sz w:val="16"/>
          <w:szCs w:val="16"/>
        </w:rPr>
        <w:t xml:space="preserve">, </w:t>
      </w:r>
      <w:hyperlink r:id="rId11" w:history="1">
        <w:r w:rsidR="00904D6C" w:rsidRPr="00904D6C">
          <w:rPr>
            <w:rStyle w:val="Hyperlink"/>
            <w:rFonts w:ascii="Arial" w:hAnsi="Arial" w:cs="Arial"/>
            <w:bCs/>
            <w:sz w:val="16"/>
            <w:szCs w:val="16"/>
          </w:rPr>
          <w:t>Twitter</w:t>
        </w:r>
      </w:hyperlink>
      <w:r w:rsidR="00904D6C" w:rsidRPr="00904D6C">
        <w:rPr>
          <w:rFonts w:ascii="Arial" w:hAnsi="Arial" w:cs="Arial"/>
          <w:bCs/>
          <w:color w:val="808080" w:themeColor="background1" w:themeShade="80"/>
          <w:sz w:val="16"/>
          <w:szCs w:val="16"/>
        </w:rPr>
        <w:t xml:space="preserve">, </w:t>
      </w:r>
      <w:hyperlink r:id="rId12" w:history="1">
        <w:r w:rsidR="00904D6C" w:rsidRPr="00904D6C">
          <w:rPr>
            <w:rStyle w:val="Hyperlink"/>
            <w:rFonts w:ascii="Arial" w:hAnsi="Arial" w:cs="Arial"/>
            <w:bCs/>
            <w:sz w:val="16"/>
            <w:szCs w:val="16"/>
          </w:rPr>
          <w:t>Facebook</w:t>
        </w:r>
      </w:hyperlink>
      <w:r w:rsidR="00904D6C" w:rsidRPr="00904D6C">
        <w:rPr>
          <w:rFonts w:ascii="Arial" w:hAnsi="Arial" w:cs="Arial"/>
          <w:bCs/>
          <w:color w:val="808080" w:themeColor="background1" w:themeShade="80"/>
          <w:sz w:val="16"/>
          <w:szCs w:val="16"/>
        </w:rPr>
        <w:t xml:space="preserve">). Its European head office is in </w:t>
      </w:r>
      <w:proofErr w:type="spellStart"/>
      <w:r w:rsidR="00904D6C" w:rsidRPr="00904D6C">
        <w:rPr>
          <w:rFonts w:ascii="Arial" w:hAnsi="Arial" w:cs="Arial"/>
          <w:bCs/>
          <w:color w:val="808080" w:themeColor="background1" w:themeShade="80"/>
          <w:sz w:val="16"/>
          <w:szCs w:val="16"/>
        </w:rPr>
        <w:t>Capelle</w:t>
      </w:r>
      <w:proofErr w:type="spellEnd"/>
      <w:r w:rsidR="00904D6C" w:rsidRPr="00904D6C">
        <w:rPr>
          <w:rFonts w:ascii="Arial" w:hAnsi="Arial" w:cs="Arial"/>
          <w:bCs/>
          <w:color w:val="808080" w:themeColor="background1" w:themeShade="80"/>
          <w:sz w:val="16"/>
          <w:szCs w:val="16"/>
        </w:rPr>
        <w:t xml:space="preserve"> </w:t>
      </w:r>
      <w:proofErr w:type="spellStart"/>
      <w:r w:rsidR="00904D6C" w:rsidRPr="00904D6C">
        <w:rPr>
          <w:rFonts w:ascii="Arial" w:hAnsi="Arial" w:cs="Arial"/>
          <w:bCs/>
          <w:color w:val="808080" w:themeColor="background1" w:themeShade="80"/>
          <w:sz w:val="16"/>
          <w:szCs w:val="16"/>
        </w:rPr>
        <w:t>a/d</w:t>
      </w:r>
      <w:proofErr w:type="spellEnd"/>
      <w:r w:rsidR="00904D6C" w:rsidRPr="00904D6C">
        <w:rPr>
          <w:rFonts w:ascii="Arial" w:hAnsi="Arial" w:cs="Arial"/>
          <w:bCs/>
          <w:color w:val="808080" w:themeColor="background1" w:themeShade="80"/>
          <w:sz w:val="16"/>
          <w:szCs w:val="16"/>
        </w:rPr>
        <w:t xml:space="preserve"> </w:t>
      </w:r>
      <w:proofErr w:type="spellStart"/>
      <w:r w:rsidR="00904D6C" w:rsidRPr="00904D6C">
        <w:rPr>
          <w:rFonts w:ascii="Arial" w:hAnsi="Arial" w:cs="Arial"/>
          <w:bCs/>
          <w:color w:val="808080" w:themeColor="background1" w:themeShade="80"/>
          <w:sz w:val="16"/>
          <w:szCs w:val="16"/>
        </w:rPr>
        <w:t>IJssel</w:t>
      </w:r>
      <w:proofErr w:type="spellEnd"/>
      <w:r w:rsidR="00904D6C" w:rsidRPr="00904D6C">
        <w:rPr>
          <w:rFonts w:ascii="Arial" w:hAnsi="Arial" w:cs="Arial"/>
          <w:bCs/>
          <w:color w:val="808080" w:themeColor="background1" w:themeShade="80"/>
          <w:sz w:val="16"/>
          <w:szCs w:val="16"/>
        </w:rPr>
        <w:t>, the Netherlands. Topcon Corporation (</w:t>
      </w:r>
      <w:hyperlink r:id="rId13" w:history="1">
        <w:r w:rsidR="00904D6C" w:rsidRPr="00904D6C">
          <w:rPr>
            <w:rStyle w:val="Hyperlink"/>
            <w:rFonts w:ascii="Arial" w:hAnsi="Arial" w:cs="Arial"/>
            <w:bCs/>
            <w:sz w:val="16"/>
            <w:szCs w:val="16"/>
          </w:rPr>
          <w:t>topcon.com</w:t>
        </w:r>
      </w:hyperlink>
      <w:r w:rsidR="00904D6C" w:rsidRPr="00904D6C">
        <w:rPr>
          <w:rFonts w:ascii="Arial" w:hAnsi="Arial" w:cs="Arial"/>
          <w:bCs/>
          <w:color w:val="808080" w:themeColor="background1" w:themeShade="80"/>
          <w:sz w:val="16"/>
          <w:szCs w:val="16"/>
        </w:rPr>
        <w:t>), founded in 1932, is traded on the Tokyo Stock Exchange (7732). </w:t>
      </w:r>
    </w:p>
    <w:p w14:paraId="37C2B320" w14:textId="75301153" w:rsidR="002078F0" w:rsidRPr="00904D6C" w:rsidRDefault="002078F0" w:rsidP="00360FCE">
      <w:pPr>
        <w:rPr>
          <w:rFonts w:ascii="Arial" w:hAnsi="Arial" w:cs="Arial"/>
          <w:color w:val="808080" w:themeColor="background1" w:themeShade="80"/>
          <w:sz w:val="16"/>
          <w:szCs w:val="16"/>
        </w:rPr>
      </w:pPr>
    </w:p>
    <w:p w14:paraId="435E9F5A" w14:textId="004C39BF" w:rsidR="002078F0" w:rsidRDefault="00F61E29" w:rsidP="00FB0E1E">
      <w:pPr>
        <w:jc w:val="center"/>
        <w:rPr>
          <w:rFonts w:ascii="Arial" w:hAnsi="Arial" w:cs="Arial"/>
          <w:color w:val="808080" w:themeColor="background1" w:themeShade="80"/>
          <w:sz w:val="16"/>
          <w:szCs w:val="16"/>
        </w:rPr>
      </w:pPr>
      <w:r w:rsidRPr="00904D6C">
        <w:rPr>
          <w:rFonts w:ascii="Arial" w:hAnsi="Arial" w:cs="Arial"/>
          <w:color w:val="808080" w:themeColor="background1" w:themeShade="80"/>
          <w:sz w:val="16"/>
          <w:szCs w:val="16"/>
        </w:rPr>
        <w:t># # #</w:t>
      </w:r>
    </w:p>
    <w:p w14:paraId="074FF44F" w14:textId="77777777" w:rsidR="00904D6C" w:rsidRPr="00904D6C" w:rsidRDefault="00904D6C" w:rsidP="00FB0E1E">
      <w:pPr>
        <w:jc w:val="center"/>
        <w:rPr>
          <w:rFonts w:ascii="Arial" w:hAnsi="Arial" w:cs="Arial"/>
          <w:color w:val="808080" w:themeColor="background1" w:themeShade="80"/>
          <w:sz w:val="16"/>
          <w:szCs w:val="16"/>
        </w:rPr>
      </w:pPr>
    </w:p>
    <w:p w14:paraId="56D02AFB" w14:textId="77777777" w:rsidR="00F61E29" w:rsidRPr="00904D6C" w:rsidRDefault="00F61E29" w:rsidP="00F61E29">
      <w:pPr>
        <w:outlineLvl w:val="0"/>
        <w:rPr>
          <w:rFonts w:ascii="Arial" w:hAnsi="Arial" w:cs="Arial"/>
          <w:b/>
          <w:color w:val="808080" w:themeColor="background1" w:themeShade="80"/>
          <w:sz w:val="16"/>
          <w:szCs w:val="16"/>
        </w:rPr>
      </w:pPr>
      <w:r w:rsidRPr="00904D6C">
        <w:rPr>
          <w:rFonts w:ascii="Arial" w:hAnsi="Arial" w:cs="Arial"/>
          <w:b/>
          <w:color w:val="808080" w:themeColor="background1" w:themeShade="80"/>
          <w:sz w:val="16"/>
          <w:szCs w:val="16"/>
        </w:rPr>
        <w:t xml:space="preserve">Press Contact: </w:t>
      </w:r>
    </w:p>
    <w:p w14:paraId="0B0DC8C3" w14:textId="77777777" w:rsidR="00F61E29" w:rsidRPr="00904D6C" w:rsidRDefault="00F61E29" w:rsidP="00F61E29">
      <w:pPr>
        <w:outlineLvl w:val="0"/>
        <w:rPr>
          <w:rFonts w:ascii="Arial" w:hAnsi="Arial" w:cs="Arial"/>
          <w:bCs/>
          <w:color w:val="808080" w:themeColor="background1" w:themeShade="80"/>
          <w:sz w:val="16"/>
          <w:szCs w:val="16"/>
        </w:rPr>
      </w:pPr>
      <w:r w:rsidRPr="00904D6C">
        <w:rPr>
          <w:rFonts w:ascii="Arial" w:hAnsi="Arial" w:cs="Arial"/>
          <w:bCs/>
          <w:color w:val="808080" w:themeColor="background1" w:themeShade="80"/>
          <w:sz w:val="16"/>
          <w:szCs w:val="16"/>
        </w:rPr>
        <w:t>Topcon Positioning Group</w:t>
      </w:r>
    </w:p>
    <w:p w14:paraId="2ADB91B2" w14:textId="77777777" w:rsidR="00F61E29" w:rsidRPr="00904D6C" w:rsidRDefault="00F403A8" w:rsidP="00F61E29">
      <w:pPr>
        <w:outlineLvl w:val="0"/>
        <w:rPr>
          <w:rFonts w:ascii="Arial" w:hAnsi="Arial" w:cs="Arial"/>
          <w:bCs/>
          <w:color w:val="808080" w:themeColor="background1" w:themeShade="80"/>
          <w:sz w:val="16"/>
          <w:szCs w:val="16"/>
          <w:lang w:val="it-IT"/>
        </w:rPr>
      </w:pPr>
      <w:hyperlink r:id="rId14" w:history="1">
        <w:r w:rsidR="00F61E29" w:rsidRPr="00904D6C">
          <w:rPr>
            <w:rStyle w:val="Hyperlink"/>
            <w:rFonts w:ascii="Arial" w:hAnsi="Arial" w:cs="Arial"/>
            <w:bCs/>
            <w:color w:val="808080" w:themeColor="background1" w:themeShade="80"/>
            <w:sz w:val="16"/>
            <w:szCs w:val="16"/>
            <w:lang w:val="it-IT"/>
          </w:rPr>
          <w:t>CorpComm@topcon.com</w:t>
        </w:r>
      </w:hyperlink>
    </w:p>
    <w:p w14:paraId="22244F9C" w14:textId="5754A301" w:rsidR="00BE666D" w:rsidRPr="00904D6C" w:rsidRDefault="00FD1C0E" w:rsidP="00FD1C0E">
      <w:pPr>
        <w:outlineLvl w:val="0"/>
        <w:rPr>
          <w:rFonts w:ascii="Arial" w:hAnsi="Arial" w:cs="Arial"/>
          <w:bCs/>
          <w:color w:val="808080" w:themeColor="background1" w:themeShade="80"/>
          <w:sz w:val="16"/>
          <w:szCs w:val="16"/>
        </w:rPr>
      </w:pPr>
      <w:r w:rsidRPr="00904D6C">
        <w:rPr>
          <w:rFonts w:ascii="Arial" w:hAnsi="Arial" w:cs="Arial"/>
          <w:bCs/>
          <w:color w:val="808080" w:themeColor="background1" w:themeShade="80"/>
          <w:sz w:val="16"/>
          <w:szCs w:val="16"/>
        </w:rPr>
        <w:t>Sta</w:t>
      </w:r>
      <w:r w:rsidR="00E54648" w:rsidRPr="00904D6C">
        <w:rPr>
          <w:rFonts w:ascii="Arial" w:hAnsi="Arial" w:cs="Arial"/>
          <w:bCs/>
          <w:color w:val="808080" w:themeColor="background1" w:themeShade="80"/>
          <w:sz w:val="16"/>
          <w:szCs w:val="16"/>
        </w:rPr>
        <w:t xml:space="preserve">ci Fitzgerald, +1 925-245-8610 </w:t>
      </w:r>
    </w:p>
    <w:sectPr w:rsidR="00BE666D" w:rsidRPr="00904D6C" w:rsidSect="009C7717">
      <w:headerReference w:type="first" r:id="rId15"/>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B8258" w14:textId="77777777" w:rsidR="00F403A8" w:rsidRDefault="00F403A8">
      <w:r>
        <w:separator/>
      </w:r>
    </w:p>
  </w:endnote>
  <w:endnote w:type="continuationSeparator" w:id="0">
    <w:p w14:paraId="71EF5646" w14:textId="77777777" w:rsidR="00F403A8" w:rsidRDefault="00F4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9EDAD" w14:textId="77777777" w:rsidR="00F403A8" w:rsidRDefault="00F403A8">
      <w:r>
        <w:separator/>
      </w:r>
    </w:p>
  </w:footnote>
  <w:footnote w:type="continuationSeparator" w:id="0">
    <w:p w14:paraId="64246149" w14:textId="77777777" w:rsidR="00F403A8" w:rsidRDefault="00F403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20BF"/>
    <w:rsid w:val="000E7CE4"/>
    <w:rsid w:val="0010107F"/>
    <w:rsid w:val="001010F9"/>
    <w:rsid w:val="00105D3C"/>
    <w:rsid w:val="001269F8"/>
    <w:rsid w:val="00130BEA"/>
    <w:rsid w:val="00163F32"/>
    <w:rsid w:val="001675BD"/>
    <w:rsid w:val="00177523"/>
    <w:rsid w:val="001806FE"/>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3E0A"/>
    <w:rsid w:val="005378E1"/>
    <w:rsid w:val="00546094"/>
    <w:rsid w:val="005464A0"/>
    <w:rsid w:val="00546623"/>
    <w:rsid w:val="005475A1"/>
    <w:rsid w:val="005502C7"/>
    <w:rsid w:val="005668A9"/>
    <w:rsid w:val="0058710D"/>
    <w:rsid w:val="00587A94"/>
    <w:rsid w:val="005A23A0"/>
    <w:rsid w:val="005A4B01"/>
    <w:rsid w:val="005C44F8"/>
    <w:rsid w:val="005C48E8"/>
    <w:rsid w:val="005C5496"/>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92FEA"/>
    <w:rsid w:val="006A0908"/>
    <w:rsid w:val="006B2A9A"/>
    <w:rsid w:val="006B35F4"/>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92003"/>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96B5F"/>
    <w:rsid w:val="008A3E7D"/>
    <w:rsid w:val="008C06FF"/>
    <w:rsid w:val="008C3A35"/>
    <w:rsid w:val="008D0202"/>
    <w:rsid w:val="008F54A3"/>
    <w:rsid w:val="00904D6C"/>
    <w:rsid w:val="009115C1"/>
    <w:rsid w:val="00911FD9"/>
    <w:rsid w:val="00914DAF"/>
    <w:rsid w:val="009434F4"/>
    <w:rsid w:val="00953F3D"/>
    <w:rsid w:val="00956EF7"/>
    <w:rsid w:val="009666D5"/>
    <w:rsid w:val="00975493"/>
    <w:rsid w:val="009914F1"/>
    <w:rsid w:val="00995B68"/>
    <w:rsid w:val="009964DE"/>
    <w:rsid w:val="009A599D"/>
    <w:rsid w:val="009B59CD"/>
    <w:rsid w:val="009C3261"/>
    <w:rsid w:val="009C7717"/>
    <w:rsid w:val="009E0A5D"/>
    <w:rsid w:val="009E2FE3"/>
    <w:rsid w:val="00A06D66"/>
    <w:rsid w:val="00A12AD1"/>
    <w:rsid w:val="00A26E88"/>
    <w:rsid w:val="00A276D5"/>
    <w:rsid w:val="00A34C2B"/>
    <w:rsid w:val="00A36D45"/>
    <w:rsid w:val="00A47E24"/>
    <w:rsid w:val="00A57BD4"/>
    <w:rsid w:val="00A60195"/>
    <w:rsid w:val="00A9365C"/>
    <w:rsid w:val="00A95736"/>
    <w:rsid w:val="00A976A5"/>
    <w:rsid w:val="00AA215A"/>
    <w:rsid w:val="00AA2A43"/>
    <w:rsid w:val="00AA5C55"/>
    <w:rsid w:val="00AB50D8"/>
    <w:rsid w:val="00AB59DB"/>
    <w:rsid w:val="00AC09BA"/>
    <w:rsid w:val="00AD0AD8"/>
    <w:rsid w:val="00AE6481"/>
    <w:rsid w:val="00AF2A3E"/>
    <w:rsid w:val="00AF6E40"/>
    <w:rsid w:val="00B220A5"/>
    <w:rsid w:val="00B3397E"/>
    <w:rsid w:val="00B402B7"/>
    <w:rsid w:val="00B4058E"/>
    <w:rsid w:val="00B64457"/>
    <w:rsid w:val="00B75A7F"/>
    <w:rsid w:val="00B84AD7"/>
    <w:rsid w:val="00B92736"/>
    <w:rsid w:val="00B92C56"/>
    <w:rsid w:val="00B92CFE"/>
    <w:rsid w:val="00BA6826"/>
    <w:rsid w:val="00BB19B5"/>
    <w:rsid w:val="00BB25D3"/>
    <w:rsid w:val="00BB4455"/>
    <w:rsid w:val="00BB78BB"/>
    <w:rsid w:val="00BC071E"/>
    <w:rsid w:val="00BC4421"/>
    <w:rsid w:val="00BC6358"/>
    <w:rsid w:val="00BD1DD7"/>
    <w:rsid w:val="00BD46EA"/>
    <w:rsid w:val="00BD71D0"/>
    <w:rsid w:val="00BE5DE2"/>
    <w:rsid w:val="00BE666D"/>
    <w:rsid w:val="00BF1DD5"/>
    <w:rsid w:val="00BF37F1"/>
    <w:rsid w:val="00C01690"/>
    <w:rsid w:val="00C01952"/>
    <w:rsid w:val="00C03ADA"/>
    <w:rsid w:val="00C076B8"/>
    <w:rsid w:val="00C23A3B"/>
    <w:rsid w:val="00C24336"/>
    <w:rsid w:val="00C24DBF"/>
    <w:rsid w:val="00C260AD"/>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063D"/>
    <w:rsid w:val="00D5420F"/>
    <w:rsid w:val="00D55832"/>
    <w:rsid w:val="00D62FA8"/>
    <w:rsid w:val="00D6369D"/>
    <w:rsid w:val="00D647FC"/>
    <w:rsid w:val="00D6784A"/>
    <w:rsid w:val="00D70AF0"/>
    <w:rsid w:val="00D70EE2"/>
    <w:rsid w:val="00D91CF0"/>
    <w:rsid w:val="00D979CB"/>
    <w:rsid w:val="00DA66FE"/>
    <w:rsid w:val="00DC60A0"/>
    <w:rsid w:val="00DF026C"/>
    <w:rsid w:val="00DF3EB5"/>
    <w:rsid w:val="00DF41BF"/>
    <w:rsid w:val="00E064C3"/>
    <w:rsid w:val="00E07393"/>
    <w:rsid w:val="00E07F73"/>
    <w:rsid w:val="00E11947"/>
    <w:rsid w:val="00E16158"/>
    <w:rsid w:val="00E32B47"/>
    <w:rsid w:val="00E54648"/>
    <w:rsid w:val="00E74974"/>
    <w:rsid w:val="00E95EFF"/>
    <w:rsid w:val="00EA49B1"/>
    <w:rsid w:val="00EB1000"/>
    <w:rsid w:val="00EC3044"/>
    <w:rsid w:val="00EC60E2"/>
    <w:rsid w:val="00EC7D75"/>
    <w:rsid w:val="00ED70D3"/>
    <w:rsid w:val="00EE1C16"/>
    <w:rsid w:val="00EE24FF"/>
    <w:rsid w:val="00EE33D2"/>
    <w:rsid w:val="00EF4409"/>
    <w:rsid w:val="00F126AE"/>
    <w:rsid w:val="00F20CD6"/>
    <w:rsid w:val="00F25765"/>
    <w:rsid w:val="00F403A8"/>
    <w:rsid w:val="00F45907"/>
    <w:rsid w:val="00F463E2"/>
    <w:rsid w:val="00F55F20"/>
    <w:rsid w:val="00F6101F"/>
    <w:rsid w:val="00F61E29"/>
    <w:rsid w:val="00F62C6C"/>
    <w:rsid w:val="00F64C2D"/>
    <w:rsid w:val="00F67868"/>
    <w:rsid w:val="00F757D3"/>
    <w:rsid w:val="00F81B4F"/>
    <w:rsid w:val="00F86B3B"/>
    <w:rsid w:val="00F94B69"/>
    <w:rsid w:val="00F94E58"/>
    <w:rsid w:val="00F96246"/>
    <w:rsid w:val="00FA3772"/>
    <w:rsid w:val="00FA7601"/>
    <w:rsid w:val="00FB0DA8"/>
    <w:rsid w:val="00FB0E1E"/>
    <w:rsid w:val="00FB146B"/>
    <w:rsid w:val="00FB4CB7"/>
    <w:rsid w:val="00FB613D"/>
    <w:rsid w:val="00FB65D5"/>
    <w:rsid w:val="00FC747F"/>
    <w:rsid w:val="00FC74C6"/>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customStyle="1"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431461795">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witter.com/topcon_today" TargetMode="External"/><Relationship Id="rId12" Type="http://schemas.openxmlformats.org/officeDocument/2006/relationships/hyperlink" Target="https://www.facebook.com/TopconToday/"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opconpositioning.com/" TargetMode="External"/><Relationship Id="rId9" Type="http://schemas.openxmlformats.org/officeDocument/2006/relationships/hyperlink" Target="https://www.topconpositioning.com/" TargetMode="External"/><Relationship Id="rId10" Type="http://schemas.openxmlformats.org/officeDocument/2006/relationships/hyperlink" Target="https://www.linkedin.com/company/topcon-positioning-syste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9F2EB-4195-CB43-9D5D-D380A4A4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2153</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2525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Chris Jilka</cp:lastModifiedBy>
  <cp:revision>2</cp:revision>
  <cp:lastPrinted>2015-08-13T12:52:00Z</cp:lastPrinted>
  <dcterms:created xsi:type="dcterms:W3CDTF">2019-05-08T18:22:00Z</dcterms:created>
  <dcterms:modified xsi:type="dcterms:W3CDTF">2019-05-08T18:22:00Z</dcterms:modified>
  <cp:category/>
</cp:coreProperties>
</file>