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795CA" w14:textId="77777777" w:rsidR="00527B70" w:rsidRDefault="00527B70" w:rsidP="00F61E29">
      <w:pPr>
        <w:jc w:val="center"/>
        <w:rPr>
          <w:rFonts w:ascii="Arial" w:hAnsi="Arial"/>
          <w:color w:val="808080" w:themeColor="background1" w:themeShade="80"/>
          <w:sz w:val="16"/>
          <w:szCs w:val="18"/>
        </w:rPr>
      </w:pPr>
    </w:p>
    <w:p w14:paraId="397A3A3A" w14:textId="77777777" w:rsidR="00612FA3" w:rsidRPr="0069644C" w:rsidRDefault="0009234C" w:rsidP="00527B70">
      <w:pPr>
        <w:jc w:val="center"/>
        <w:rPr>
          <w:rFonts w:ascii="Arial" w:hAnsi="Arial"/>
          <w:color w:val="808080" w:themeColor="background1" w:themeShade="80"/>
          <w:sz w:val="16"/>
          <w:szCs w:val="18"/>
          <w:lang w:val="it-IT"/>
        </w:rPr>
      </w:pPr>
      <w:r>
        <w:rPr>
          <w:rFonts w:ascii="Arial" w:hAnsi="Arial"/>
          <w:color w:val="808080" w:themeColor="background1" w:themeShade="80"/>
          <w:sz w:val="16"/>
          <w:szCs w:val="18"/>
          <w:lang w:val="it"/>
        </w:rPr>
        <w:t xml:space="preserve"> </w:t>
      </w:r>
    </w:p>
    <w:p w14:paraId="2118A6BA" w14:textId="6AA16D05" w:rsidR="00612FA3" w:rsidRPr="0069644C" w:rsidRDefault="00612FA3" w:rsidP="00527B70">
      <w:pPr>
        <w:jc w:val="center"/>
        <w:rPr>
          <w:rFonts w:ascii="Arial" w:hAnsi="Arial"/>
          <w:color w:val="808080" w:themeColor="background1" w:themeShade="80"/>
          <w:sz w:val="16"/>
          <w:szCs w:val="18"/>
          <w:lang w:val="it-IT"/>
        </w:rPr>
      </w:pPr>
    </w:p>
    <w:p w14:paraId="242F1DC9" w14:textId="4DE04E4E" w:rsidR="00515CDD" w:rsidRPr="0069644C" w:rsidRDefault="002E7E50" w:rsidP="00515CDD">
      <w:pPr>
        <w:tabs>
          <w:tab w:val="left" w:pos="270"/>
        </w:tabs>
        <w:spacing w:line="360" w:lineRule="auto"/>
        <w:jc w:val="right"/>
        <w:rPr>
          <w:rFonts w:ascii="Arial" w:hAnsi="Arial" w:cs="Arial"/>
          <w:b/>
          <w:color w:val="007AC2"/>
          <w:sz w:val="36"/>
          <w:lang w:val="it-IT"/>
        </w:rPr>
      </w:pPr>
      <w:r>
        <w:rPr>
          <w:rFonts w:ascii="Arial" w:hAnsi="Arial" w:cs="Arial"/>
          <w:b/>
          <w:bCs/>
          <w:noProof/>
          <w:color w:val="007AC2"/>
          <w:sz w:val="36"/>
          <w:lang w:val="it-IT" w:eastAsia="zh-TW"/>
        </w:rPr>
        <mc:AlternateContent>
          <mc:Choice Requires="wps">
            <w:drawing>
              <wp:anchor distT="0" distB="0" distL="114300" distR="114300" simplePos="0" relativeHeight="251659264" behindDoc="0" locked="0" layoutInCell="1" allowOverlap="1" wp14:anchorId="765CE7A2" wp14:editId="5F95EEEF">
                <wp:simplePos x="0" y="0"/>
                <wp:positionH relativeFrom="column">
                  <wp:posOffset>-518795</wp:posOffset>
                </wp:positionH>
                <wp:positionV relativeFrom="paragraph">
                  <wp:posOffset>101600</wp:posOffset>
                </wp:positionV>
                <wp:extent cx="2055495" cy="51371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055495" cy="5137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826C369" w14:textId="0E775EFA" w:rsidR="00515CDD" w:rsidRDefault="00515CDD">
                            <w:r>
                              <w:rPr>
                                <w:rFonts w:ascii="Helvetica" w:hAnsi="Helvetica" w:cs="Helvetica"/>
                                <w:noProof/>
                                <w:lang w:val="it-IT" w:eastAsia="zh-TW"/>
                              </w:rPr>
                              <w:drawing>
                                <wp:inline distT="0" distB="0" distL="0" distR="0" wp14:anchorId="148345CF" wp14:editId="1D64F95C">
                                  <wp:extent cx="1732941" cy="4093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575" cy="44067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5CE7A2" id="_x0000_t202" coordsize="21600,21600" o:spt="202" path="m,l,21600r21600,l21600,xe">
                <v:stroke joinstyle="miter"/>
                <v:path gradientshapeok="t" o:connecttype="rect"/>
              </v:shapetype>
              <v:shape id="Text Box 3" o:spid="_x0000_s1026" type="#_x0000_t202" style="position:absolute;left:0;text-align:left;margin-left:-40.85pt;margin-top:8pt;width:161.85pt;height:4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" filled="f" stroked="f">
                <v:textbox>
                  <w:txbxContent>
                    <w:p w14:paraId="1826C369" w14:textId="0E775EFA" w:rsidR="00515CDD" w:rsidRDefault="00515CDD">
                      <w:r>
                        <w:rPr>
                          <w:rFonts w:ascii="Helvetica" w:hAnsi="Helvetica" w:cs="Helvetica"/>
                          <w:noProof/>
                          <w:lang w:val="it-IT" w:eastAsia="zh-TW"/>
                        </w:rPr>
                        <w:drawing>
                          <wp:inline distT="0" distB="0" distL="0" distR="0" wp14:anchorId="148345CF" wp14:editId="1D64F95C">
                            <wp:extent cx="1732941" cy="4093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5575" cy="440674"/>
                                    </a:xfrm>
                                    <a:prstGeom prst="rect">
                                      <a:avLst/>
                                    </a:prstGeom>
                                    <a:noFill/>
                                    <a:ln>
                                      <a:noFill/>
                                    </a:ln>
                                  </pic:spPr>
                                </pic:pic>
                              </a:graphicData>
                            </a:graphic>
                          </wp:inline>
                        </w:drawing>
                      </w:r>
                    </w:p>
                  </w:txbxContent>
                </v:textbox>
                <w10:wrap type="square"/>
              </v:shape>
            </w:pict>
          </mc:Fallback>
        </mc:AlternateContent>
      </w:r>
    </w:p>
    <w:p w14:paraId="602DBE62" w14:textId="77777777" w:rsidR="00515CDD" w:rsidRPr="0069644C" w:rsidRDefault="00515CDD" w:rsidP="00612FA3">
      <w:pPr>
        <w:tabs>
          <w:tab w:val="left" w:pos="270"/>
        </w:tabs>
        <w:spacing w:line="360" w:lineRule="auto"/>
        <w:jc w:val="center"/>
        <w:rPr>
          <w:rFonts w:ascii="Arial" w:hAnsi="Arial" w:cs="Arial"/>
          <w:b/>
          <w:color w:val="007AC2"/>
          <w:sz w:val="36"/>
          <w:lang w:val="it-IT"/>
        </w:rPr>
      </w:pPr>
    </w:p>
    <w:p w14:paraId="06854F4D" w14:textId="77777777" w:rsidR="00515CDD" w:rsidRPr="0069644C" w:rsidRDefault="00515CDD" w:rsidP="00612FA3">
      <w:pPr>
        <w:tabs>
          <w:tab w:val="left" w:pos="270"/>
        </w:tabs>
        <w:spacing w:line="360" w:lineRule="auto"/>
        <w:jc w:val="center"/>
        <w:rPr>
          <w:rFonts w:ascii="Arial" w:hAnsi="Arial" w:cs="Arial"/>
          <w:b/>
          <w:color w:val="007AC2"/>
          <w:sz w:val="16"/>
          <w:lang w:val="it-IT"/>
        </w:rPr>
      </w:pPr>
    </w:p>
    <w:p w14:paraId="0ADEF47F" w14:textId="0D6445FC" w:rsidR="00536EAB" w:rsidRPr="0069644C" w:rsidRDefault="00932BDE" w:rsidP="00612FA3">
      <w:pPr>
        <w:tabs>
          <w:tab w:val="left" w:pos="270"/>
        </w:tabs>
        <w:spacing w:line="360" w:lineRule="auto"/>
        <w:jc w:val="center"/>
        <w:rPr>
          <w:rFonts w:ascii="Arial" w:hAnsi="Arial" w:cs="Arial"/>
          <w:b/>
          <w:i/>
          <w:color w:val="007AC2"/>
          <w:sz w:val="28"/>
          <w:lang w:val="it-IT"/>
        </w:rPr>
      </w:pPr>
      <w:r>
        <w:rPr>
          <w:rFonts w:ascii="Arial" w:hAnsi="Arial" w:cs="Arial"/>
          <w:b/>
          <w:bCs/>
          <w:color w:val="007AC2"/>
          <w:sz w:val="36"/>
          <w:lang w:val="it"/>
        </w:rPr>
        <w:t xml:space="preserve">Bentley Systems e Topcon collaborano all’iniziativa </w:t>
      </w:r>
      <w:proofErr w:type="spellStart"/>
      <w:r>
        <w:rPr>
          <w:rFonts w:ascii="Arial" w:hAnsi="Arial" w:cs="Arial"/>
          <w:b/>
          <w:bCs/>
          <w:i/>
          <w:iCs/>
          <w:color w:val="007AC2"/>
          <w:sz w:val="36"/>
          <w:lang w:val="it"/>
        </w:rPr>
        <w:t>Constructioneering</w:t>
      </w:r>
      <w:proofErr w:type="spellEnd"/>
      <w:r>
        <w:rPr>
          <w:rFonts w:ascii="Arial" w:hAnsi="Arial" w:cs="Arial"/>
          <w:b/>
          <w:bCs/>
          <w:i/>
          <w:iCs/>
          <w:color w:val="007AC2"/>
          <w:sz w:val="36"/>
          <w:lang w:val="it"/>
        </w:rPr>
        <w:t xml:space="preserve"> Academy </w:t>
      </w:r>
      <w:r>
        <w:rPr>
          <w:rFonts w:ascii="Arial" w:hAnsi="Arial" w:cs="Arial"/>
          <w:color w:val="007AC2"/>
          <w:sz w:val="32"/>
          <w:lang w:val="it"/>
        </w:rPr>
        <w:br/>
      </w:r>
      <w:r>
        <w:rPr>
          <w:rFonts w:ascii="Arial" w:hAnsi="Arial" w:cs="Arial"/>
          <w:i/>
          <w:iCs/>
          <w:color w:val="000000" w:themeColor="text1"/>
          <w:sz w:val="22"/>
          <w:lang w:val="it"/>
        </w:rPr>
        <w:t xml:space="preserve">Le due aziende uniscono le forze per offrire ai professionisti delle costruzioni la possibilità di imparare le best </w:t>
      </w:r>
      <w:proofErr w:type="spellStart"/>
      <w:r>
        <w:rPr>
          <w:rFonts w:ascii="Arial" w:hAnsi="Arial" w:cs="Arial"/>
          <w:i/>
          <w:iCs/>
          <w:color w:val="000000" w:themeColor="text1"/>
          <w:sz w:val="22"/>
          <w:lang w:val="it"/>
        </w:rPr>
        <w:t>practice</w:t>
      </w:r>
      <w:proofErr w:type="spellEnd"/>
      <w:r>
        <w:rPr>
          <w:rFonts w:ascii="Arial" w:hAnsi="Arial" w:cs="Arial"/>
          <w:i/>
          <w:iCs/>
          <w:color w:val="000000" w:themeColor="text1"/>
          <w:sz w:val="22"/>
          <w:lang w:val="it"/>
        </w:rPr>
        <w:t xml:space="preserve"> nel</w:t>
      </w:r>
      <w:r w:rsidR="00A36F25">
        <w:rPr>
          <w:rFonts w:ascii="Arial" w:hAnsi="Arial" w:cs="Arial"/>
          <w:i/>
          <w:iCs/>
          <w:color w:val="000000" w:themeColor="text1"/>
          <w:sz w:val="22"/>
          <w:lang w:val="it"/>
        </w:rPr>
        <w:t xml:space="preserve">l’integrazione tra l’ingegneria e le </w:t>
      </w:r>
      <w:r>
        <w:rPr>
          <w:rFonts w:ascii="Arial" w:hAnsi="Arial" w:cs="Arial"/>
          <w:i/>
          <w:iCs/>
          <w:color w:val="000000" w:themeColor="text1"/>
          <w:sz w:val="22"/>
          <w:lang w:val="it"/>
        </w:rPr>
        <w:t>costruzion</w:t>
      </w:r>
      <w:r w:rsidR="00A36F25">
        <w:rPr>
          <w:rFonts w:ascii="Arial" w:hAnsi="Arial" w:cs="Arial"/>
          <w:i/>
          <w:iCs/>
          <w:color w:val="000000" w:themeColor="text1"/>
          <w:sz w:val="22"/>
          <w:lang w:val="it"/>
        </w:rPr>
        <w:t>i</w:t>
      </w:r>
    </w:p>
    <w:p w14:paraId="26565EB7" w14:textId="07FA6B59" w:rsidR="00932BDE" w:rsidRPr="0069644C" w:rsidRDefault="00932BDE" w:rsidP="00932BDE">
      <w:pPr>
        <w:rPr>
          <w:rFonts w:ascii="Arial" w:hAnsi="Arial" w:cs="Arial"/>
          <w:sz w:val="20"/>
          <w:szCs w:val="19"/>
          <w:lang w:val="it-IT"/>
        </w:rPr>
      </w:pPr>
      <w:r>
        <w:rPr>
          <w:rFonts w:ascii="Arial" w:hAnsi="Arial" w:cs="Arial"/>
          <w:i/>
          <w:iCs/>
          <w:sz w:val="20"/>
          <w:szCs w:val="19"/>
          <w:lang w:val="it"/>
        </w:rPr>
        <w:t xml:space="preserve">SINGAPORE – Conferenza The </w:t>
      </w:r>
      <w:proofErr w:type="spellStart"/>
      <w:r>
        <w:rPr>
          <w:rFonts w:ascii="Arial" w:hAnsi="Arial" w:cs="Arial"/>
          <w:i/>
          <w:iCs/>
          <w:sz w:val="20"/>
          <w:szCs w:val="19"/>
          <w:lang w:val="it"/>
        </w:rPr>
        <w:t>Year</w:t>
      </w:r>
      <w:proofErr w:type="spellEnd"/>
      <w:r>
        <w:rPr>
          <w:rFonts w:ascii="Arial" w:hAnsi="Arial" w:cs="Arial"/>
          <w:i/>
          <w:iCs/>
          <w:sz w:val="20"/>
          <w:szCs w:val="19"/>
          <w:lang w:val="it"/>
        </w:rPr>
        <w:t xml:space="preserve"> in </w:t>
      </w:r>
      <w:proofErr w:type="spellStart"/>
      <w:r>
        <w:rPr>
          <w:rFonts w:ascii="Arial" w:hAnsi="Arial" w:cs="Arial"/>
          <w:i/>
          <w:iCs/>
          <w:sz w:val="20"/>
          <w:szCs w:val="19"/>
          <w:lang w:val="it"/>
        </w:rPr>
        <w:t>Infrastructure</w:t>
      </w:r>
      <w:proofErr w:type="spellEnd"/>
      <w:r>
        <w:rPr>
          <w:rFonts w:ascii="Arial" w:hAnsi="Arial" w:cs="Arial"/>
          <w:i/>
          <w:iCs/>
          <w:sz w:val="20"/>
          <w:szCs w:val="19"/>
          <w:lang w:val="it"/>
        </w:rPr>
        <w:t xml:space="preserve"> 2017 – </w:t>
      </w:r>
      <w:r w:rsidR="00591DE1">
        <w:rPr>
          <w:rFonts w:ascii="Arial" w:hAnsi="Arial" w:cs="Arial"/>
          <w:i/>
          <w:iCs/>
          <w:sz w:val="20"/>
          <w:szCs w:val="19"/>
          <w:lang w:val="it"/>
        </w:rPr>
        <w:t xml:space="preserve">9 </w:t>
      </w:r>
      <w:r>
        <w:rPr>
          <w:rFonts w:ascii="Arial" w:hAnsi="Arial" w:cs="Arial"/>
          <w:i/>
          <w:iCs/>
          <w:sz w:val="20"/>
          <w:szCs w:val="19"/>
          <w:lang w:val="it"/>
        </w:rPr>
        <w:t xml:space="preserve"> ottobre 2017 – </w:t>
      </w:r>
      <w:r>
        <w:rPr>
          <w:rFonts w:ascii="Arial" w:hAnsi="Arial" w:cs="Arial"/>
          <w:sz w:val="20"/>
          <w:szCs w:val="19"/>
          <w:lang w:val="it"/>
        </w:rPr>
        <w:t xml:space="preserve">Topcon Positioning Systems, leader mondiale nel settore degli strumenti di </w:t>
      </w:r>
      <w:r w:rsidR="00A36F25">
        <w:rPr>
          <w:rFonts w:ascii="Arial" w:hAnsi="Arial" w:cs="Arial"/>
          <w:sz w:val="20"/>
          <w:szCs w:val="19"/>
          <w:lang w:val="it"/>
        </w:rPr>
        <w:t>po</w:t>
      </w:r>
      <w:r>
        <w:rPr>
          <w:rFonts w:ascii="Arial" w:hAnsi="Arial" w:cs="Arial"/>
          <w:sz w:val="20"/>
          <w:szCs w:val="19"/>
          <w:lang w:val="it"/>
        </w:rPr>
        <w:t xml:space="preserve">sizionamento per </w:t>
      </w:r>
      <w:r w:rsidR="00A36F25">
        <w:rPr>
          <w:rFonts w:ascii="Arial" w:hAnsi="Arial" w:cs="Arial"/>
          <w:sz w:val="20"/>
          <w:szCs w:val="19"/>
          <w:lang w:val="it"/>
        </w:rPr>
        <w:t xml:space="preserve">la topografia e </w:t>
      </w:r>
      <w:r>
        <w:rPr>
          <w:rFonts w:ascii="Arial" w:hAnsi="Arial" w:cs="Arial"/>
          <w:sz w:val="20"/>
          <w:szCs w:val="19"/>
          <w:lang w:val="it"/>
        </w:rPr>
        <w:t>l</w:t>
      </w:r>
      <w:r w:rsidR="00A36F25">
        <w:rPr>
          <w:rFonts w:ascii="Arial" w:hAnsi="Arial" w:cs="Arial"/>
          <w:sz w:val="20"/>
          <w:szCs w:val="19"/>
          <w:lang w:val="it"/>
        </w:rPr>
        <w:t>e</w:t>
      </w:r>
      <w:r>
        <w:rPr>
          <w:rFonts w:ascii="Arial" w:hAnsi="Arial" w:cs="Arial"/>
          <w:sz w:val="20"/>
          <w:szCs w:val="19"/>
          <w:lang w:val="it"/>
        </w:rPr>
        <w:t xml:space="preserve"> costruzion</w:t>
      </w:r>
      <w:r w:rsidR="00A36F25">
        <w:rPr>
          <w:rFonts w:ascii="Arial" w:hAnsi="Arial" w:cs="Arial"/>
          <w:sz w:val="20"/>
          <w:szCs w:val="19"/>
          <w:lang w:val="it"/>
        </w:rPr>
        <w:t>i</w:t>
      </w:r>
      <w:r>
        <w:rPr>
          <w:rFonts w:ascii="Arial" w:hAnsi="Arial" w:cs="Arial"/>
          <w:sz w:val="20"/>
          <w:szCs w:val="19"/>
          <w:lang w:val="it"/>
        </w:rPr>
        <w:t>, e Bentley Systems, fornitore globale</w:t>
      </w:r>
      <w:r w:rsidR="004C458C">
        <w:rPr>
          <w:rFonts w:ascii="Arial" w:hAnsi="Arial" w:cs="Arial"/>
          <w:sz w:val="20"/>
          <w:szCs w:val="19"/>
          <w:lang w:val="it"/>
        </w:rPr>
        <w:t xml:space="preserve"> leader</w:t>
      </w:r>
      <w:r>
        <w:rPr>
          <w:rFonts w:ascii="Arial" w:hAnsi="Arial" w:cs="Arial"/>
          <w:sz w:val="20"/>
          <w:szCs w:val="19"/>
          <w:lang w:val="it"/>
        </w:rPr>
        <w:t xml:space="preserve"> </w:t>
      </w:r>
      <w:r w:rsidR="004C458C">
        <w:rPr>
          <w:rFonts w:ascii="Arial" w:hAnsi="Arial" w:cs="Arial"/>
          <w:sz w:val="20"/>
          <w:szCs w:val="19"/>
          <w:lang w:val="it"/>
        </w:rPr>
        <w:t xml:space="preserve">nelle </w:t>
      </w:r>
      <w:r>
        <w:rPr>
          <w:rFonts w:ascii="Arial" w:hAnsi="Arial" w:cs="Arial"/>
          <w:sz w:val="20"/>
          <w:szCs w:val="19"/>
          <w:lang w:val="it"/>
        </w:rPr>
        <w:t xml:space="preserve">soluzioni software complete per </w:t>
      </w:r>
      <w:r w:rsidR="004C458C">
        <w:rPr>
          <w:rFonts w:ascii="Arial" w:hAnsi="Arial" w:cs="Arial"/>
          <w:sz w:val="20"/>
          <w:szCs w:val="19"/>
          <w:lang w:val="it"/>
        </w:rPr>
        <w:t xml:space="preserve">il progresso nelle </w:t>
      </w:r>
      <w:r>
        <w:rPr>
          <w:rFonts w:ascii="Arial" w:hAnsi="Arial" w:cs="Arial"/>
          <w:sz w:val="20"/>
          <w:szCs w:val="19"/>
          <w:lang w:val="it"/>
        </w:rPr>
        <w:t>infrastrutture, hanno annunciato oggi l’unione delle loro forze finalizzata a</w:t>
      </w:r>
      <w:r w:rsidR="004C458C">
        <w:rPr>
          <w:rFonts w:ascii="Arial" w:hAnsi="Arial" w:cs="Arial"/>
          <w:sz w:val="20"/>
          <w:szCs w:val="19"/>
          <w:lang w:val="it"/>
        </w:rPr>
        <w:t>d</w:t>
      </w:r>
      <w:r>
        <w:rPr>
          <w:rFonts w:ascii="Arial" w:hAnsi="Arial" w:cs="Arial"/>
          <w:sz w:val="20"/>
          <w:szCs w:val="19"/>
          <w:lang w:val="it"/>
        </w:rPr>
        <w:t xml:space="preserve"> offrire ai professionisti del settore delle costruzioni</w:t>
      </w:r>
      <w:r w:rsidR="004C458C">
        <w:rPr>
          <w:rFonts w:ascii="Arial" w:hAnsi="Arial" w:cs="Arial"/>
          <w:sz w:val="20"/>
          <w:szCs w:val="19"/>
          <w:lang w:val="it"/>
        </w:rPr>
        <w:t>,</w:t>
      </w:r>
      <w:r>
        <w:rPr>
          <w:rFonts w:ascii="Arial" w:hAnsi="Arial" w:cs="Arial"/>
          <w:sz w:val="20"/>
          <w:szCs w:val="19"/>
          <w:lang w:val="it"/>
        </w:rPr>
        <w:t xml:space="preserve"> la possibilità di imparare le best </w:t>
      </w:r>
      <w:proofErr w:type="spellStart"/>
      <w:r>
        <w:rPr>
          <w:rFonts w:ascii="Arial" w:hAnsi="Arial" w:cs="Arial"/>
          <w:sz w:val="20"/>
          <w:szCs w:val="19"/>
          <w:lang w:val="it"/>
        </w:rPr>
        <w:t>practice</w:t>
      </w:r>
      <w:proofErr w:type="spellEnd"/>
      <w:r>
        <w:rPr>
          <w:rFonts w:ascii="Arial" w:hAnsi="Arial" w:cs="Arial"/>
          <w:sz w:val="20"/>
          <w:szCs w:val="19"/>
          <w:lang w:val="it"/>
        </w:rPr>
        <w:t xml:space="preserve"> del settore progettuale-costruttivo, una procedura atta a gestire e integrare i dati </w:t>
      </w:r>
      <w:r w:rsidR="00A36F25">
        <w:rPr>
          <w:rFonts w:ascii="Arial" w:hAnsi="Arial" w:cs="Arial"/>
          <w:sz w:val="20"/>
          <w:szCs w:val="19"/>
          <w:lang w:val="it"/>
        </w:rPr>
        <w:t xml:space="preserve">di rilievo, </w:t>
      </w:r>
      <w:r>
        <w:rPr>
          <w:rFonts w:ascii="Arial" w:hAnsi="Arial" w:cs="Arial"/>
          <w:sz w:val="20"/>
          <w:szCs w:val="19"/>
          <w:lang w:val="it"/>
        </w:rPr>
        <w:t>progettuali e di costruzione, razionalizzando i flussi di</w:t>
      </w:r>
      <w:r w:rsidR="00A36F25">
        <w:rPr>
          <w:rFonts w:ascii="Arial" w:hAnsi="Arial" w:cs="Arial"/>
          <w:sz w:val="20"/>
          <w:szCs w:val="19"/>
          <w:lang w:val="it"/>
        </w:rPr>
        <w:t xml:space="preserve"> </w:t>
      </w:r>
      <w:r>
        <w:rPr>
          <w:rFonts w:ascii="Arial" w:hAnsi="Arial" w:cs="Arial"/>
          <w:sz w:val="20"/>
          <w:szCs w:val="19"/>
          <w:lang w:val="it"/>
        </w:rPr>
        <w:t xml:space="preserve">lavoro </w:t>
      </w:r>
      <w:r w:rsidR="00FF3EC7">
        <w:rPr>
          <w:rFonts w:ascii="Arial" w:hAnsi="Arial" w:cs="Arial"/>
          <w:sz w:val="20"/>
          <w:szCs w:val="19"/>
          <w:lang w:val="it"/>
        </w:rPr>
        <w:t xml:space="preserve">nelle </w:t>
      </w:r>
      <w:r>
        <w:rPr>
          <w:rFonts w:ascii="Arial" w:hAnsi="Arial" w:cs="Arial"/>
          <w:sz w:val="20"/>
          <w:szCs w:val="19"/>
          <w:lang w:val="it"/>
        </w:rPr>
        <w:t>costruzion</w:t>
      </w:r>
      <w:r w:rsidR="00FF3EC7">
        <w:rPr>
          <w:rFonts w:ascii="Arial" w:hAnsi="Arial" w:cs="Arial"/>
          <w:sz w:val="20"/>
          <w:szCs w:val="19"/>
          <w:lang w:val="it"/>
        </w:rPr>
        <w:t>i</w:t>
      </w:r>
      <w:r>
        <w:rPr>
          <w:rFonts w:ascii="Arial" w:hAnsi="Arial" w:cs="Arial"/>
          <w:sz w:val="20"/>
          <w:szCs w:val="19"/>
          <w:lang w:val="it"/>
        </w:rPr>
        <w:t xml:space="preserve"> e migliorando i risultati della progettazione. </w:t>
      </w:r>
    </w:p>
    <w:p w14:paraId="5A7C5D42" w14:textId="77777777" w:rsidR="00932BDE" w:rsidRPr="0069644C" w:rsidRDefault="00932BDE" w:rsidP="00932BDE">
      <w:pPr>
        <w:rPr>
          <w:rFonts w:ascii="Arial" w:hAnsi="Arial" w:cs="Arial"/>
          <w:sz w:val="20"/>
          <w:szCs w:val="19"/>
          <w:lang w:val="it-IT"/>
        </w:rPr>
      </w:pPr>
    </w:p>
    <w:p w14:paraId="70129174" w14:textId="6E0812A1" w:rsidR="00932BDE" w:rsidRPr="0069644C" w:rsidRDefault="00932BDE" w:rsidP="00932BDE">
      <w:pPr>
        <w:rPr>
          <w:rFonts w:ascii="Arial" w:hAnsi="Arial" w:cs="Arial"/>
          <w:sz w:val="20"/>
          <w:szCs w:val="19"/>
          <w:lang w:val="it-IT"/>
        </w:rPr>
      </w:pPr>
      <w:r>
        <w:rPr>
          <w:rFonts w:ascii="Arial" w:hAnsi="Arial" w:cs="Arial"/>
          <w:sz w:val="20"/>
          <w:szCs w:val="19"/>
          <w:lang w:val="it"/>
        </w:rPr>
        <w:t>“Il futuro dell’automazione nel</w:t>
      </w:r>
      <w:r w:rsidR="00FF3EC7">
        <w:rPr>
          <w:rFonts w:ascii="Arial" w:hAnsi="Arial" w:cs="Arial"/>
          <w:sz w:val="20"/>
          <w:szCs w:val="19"/>
          <w:lang w:val="it"/>
        </w:rPr>
        <w:t>le costruzioni</w:t>
      </w:r>
      <w:r>
        <w:rPr>
          <w:rFonts w:ascii="Arial" w:hAnsi="Arial" w:cs="Arial"/>
          <w:sz w:val="20"/>
          <w:szCs w:val="19"/>
          <w:lang w:val="it"/>
        </w:rPr>
        <w:t xml:space="preserve"> continua oggi ad avanzare, con iniziative quali il </w:t>
      </w:r>
      <w:proofErr w:type="spellStart"/>
      <w:r>
        <w:rPr>
          <w:rFonts w:ascii="Arial" w:hAnsi="Arial" w:cs="Arial"/>
          <w:i/>
          <w:iCs/>
          <w:sz w:val="20"/>
          <w:szCs w:val="19"/>
          <w:lang w:val="it"/>
        </w:rPr>
        <w:t>constructioneering</w:t>
      </w:r>
      <w:proofErr w:type="spellEnd"/>
      <w:r>
        <w:rPr>
          <w:rFonts w:ascii="Arial" w:hAnsi="Arial" w:cs="Arial"/>
          <w:sz w:val="20"/>
          <w:szCs w:val="19"/>
          <w:lang w:val="it"/>
        </w:rPr>
        <w:t>, parola inglese che integra i concetti di costruzione e progettazione. Insieme a Bentley, s</w:t>
      </w:r>
      <w:r w:rsidR="00FF3EC7">
        <w:rPr>
          <w:rFonts w:ascii="Arial" w:hAnsi="Arial" w:cs="Arial"/>
          <w:sz w:val="20"/>
          <w:szCs w:val="19"/>
          <w:lang w:val="it"/>
        </w:rPr>
        <w:t>t</w:t>
      </w:r>
      <w:r>
        <w:rPr>
          <w:rFonts w:ascii="Arial" w:hAnsi="Arial" w:cs="Arial"/>
          <w:sz w:val="20"/>
          <w:szCs w:val="19"/>
          <w:lang w:val="it"/>
        </w:rPr>
        <w:t>iamo contribuendo a rimodellare il flusso di lavoro tradizionale del rilevamento topografico, della progettazione e della costruzione”, ha affermato il Presidente e CEO di Topcon Positioning Systems. “Il nostro impegno sta dando i suoi frutti in diverse fasi di realizzazione progettuale, in particolare nel</w:t>
      </w:r>
      <w:r w:rsidR="00FF3EC7">
        <w:rPr>
          <w:rFonts w:ascii="Arial" w:hAnsi="Arial" w:cs="Arial"/>
          <w:sz w:val="20"/>
          <w:szCs w:val="19"/>
          <w:lang w:val="it"/>
        </w:rPr>
        <w:t xml:space="preserve"> rifacimento </w:t>
      </w:r>
      <w:r>
        <w:rPr>
          <w:rFonts w:ascii="Arial" w:hAnsi="Arial" w:cs="Arial"/>
          <w:sz w:val="20"/>
          <w:szCs w:val="19"/>
          <w:lang w:val="it"/>
        </w:rPr>
        <w:t xml:space="preserve">stradale, ma le opportunità di estenderne i benefici sono incommensurabili. Si tratta di un grosso incentivo alla creazione della </w:t>
      </w:r>
      <w:proofErr w:type="spellStart"/>
      <w:r>
        <w:rPr>
          <w:rFonts w:ascii="Arial" w:hAnsi="Arial" w:cs="Arial"/>
          <w:sz w:val="20"/>
          <w:szCs w:val="19"/>
          <w:lang w:val="it"/>
        </w:rPr>
        <w:t>Constructioneering</w:t>
      </w:r>
      <w:proofErr w:type="spellEnd"/>
      <w:r>
        <w:rPr>
          <w:rFonts w:ascii="Arial" w:hAnsi="Arial" w:cs="Arial"/>
          <w:sz w:val="20"/>
          <w:szCs w:val="19"/>
          <w:lang w:val="it"/>
        </w:rPr>
        <w:t xml:space="preserve"> Academy”.</w:t>
      </w:r>
    </w:p>
    <w:p w14:paraId="1362FF3D" w14:textId="77777777" w:rsidR="00932BDE" w:rsidRPr="0069644C" w:rsidRDefault="00932BDE" w:rsidP="00932BDE">
      <w:pPr>
        <w:rPr>
          <w:rFonts w:ascii="Arial" w:hAnsi="Arial" w:cs="Arial"/>
          <w:sz w:val="20"/>
          <w:szCs w:val="19"/>
          <w:lang w:val="it-IT"/>
        </w:rPr>
      </w:pPr>
    </w:p>
    <w:p w14:paraId="57E67072" w14:textId="4A4324BC" w:rsidR="00932BDE" w:rsidRPr="0069644C" w:rsidRDefault="00932BDE" w:rsidP="00932BDE">
      <w:pPr>
        <w:rPr>
          <w:rFonts w:ascii="Arial" w:hAnsi="Arial" w:cs="Arial"/>
          <w:sz w:val="20"/>
          <w:szCs w:val="19"/>
          <w:lang w:val="it-IT"/>
        </w:rPr>
      </w:pPr>
      <w:r>
        <w:rPr>
          <w:rFonts w:ascii="Arial" w:hAnsi="Arial" w:cs="Arial"/>
          <w:sz w:val="20"/>
          <w:szCs w:val="19"/>
          <w:lang w:val="it"/>
        </w:rPr>
        <w:t xml:space="preserve">Greg Bentley, CEO di Bentley Systems, ha affermato: “La crescita della richiesta di progettazione infrastrutturale in </w:t>
      </w:r>
      <w:r w:rsidR="00FF3EC7">
        <w:rPr>
          <w:rFonts w:ascii="Arial" w:hAnsi="Arial" w:cs="Arial"/>
          <w:sz w:val="20"/>
          <w:szCs w:val="19"/>
          <w:lang w:val="it"/>
        </w:rPr>
        <w:t>tutto il mondo, a discapito delle limitate risorse disponibili,</w:t>
      </w:r>
      <w:r>
        <w:rPr>
          <w:rFonts w:ascii="Arial" w:hAnsi="Arial" w:cs="Arial"/>
          <w:sz w:val="20"/>
          <w:szCs w:val="19"/>
          <w:lang w:val="it"/>
        </w:rPr>
        <w:t xml:space="preserve"> ivi compreso l’avanzare dell’età della forza lavoro in edilizia, impo</w:t>
      </w:r>
      <w:r w:rsidR="00FF3EC7">
        <w:rPr>
          <w:rFonts w:ascii="Arial" w:hAnsi="Arial" w:cs="Arial"/>
          <w:sz w:val="20"/>
          <w:szCs w:val="19"/>
          <w:lang w:val="it"/>
        </w:rPr>
        <w:t xml:space="preserve">ne il “passaggio al digitale”. </w:t>
      </w:r>
      <w:r>
        <w:rPr>
          <w:rFonts w:ascii="Arial" w:hAnsi="Arial" w:cs="Arial"/>
          <w:sz w:val="20"/>
          <w:szCs w:val="19"/>
          <w:lang w:val="it"/>
        </w:rPr>
        <w:t xml:space="preserve">Noi e Topcon, insieme ai primi fautori del </w:t>
      </w:r>
      <w:proofErr w:type="spellStart"/>
      <w:r>
        <w:rPr>
          <w:rFonts w:ascii="Arial" w:hAnsi="Arial" w:cs="Arial"/>
          <w:sz w:val="20"/>
          <w:szCs w:val="19"/>
          <w:lang w:val="it"/>
        </w:rPr>
        <w:t>contructioneering</w:t>
      </w:r>
      <w:proofErr w:type="spellEnd"/>
      <w:r>
        <w:rPr>
          <w:rFonts w:ascii="Arial" w:hAnsi="Arial" w:cs="Arial"/>
          <w:sz w:val="20"/>
          <w:szCs w:val="19"/>
          <w:lang w:val="it"/>
        </w:rPr>
        <w:t>, ci siamo convinti nel corso dell’anno passato</w:t>
      </w:r>
      <w:r w:rsidR="004C458C">
        <w:rPr>
          <w:rFonts w:ascii="Arial" w:hAnsi="Arial" w:cs="Arial"/>
          <w:sz w:val="20"/>
          <w:szCs w:val="19"/>
          <w:lang w:val="it"/>
        </w:rPr>
        <w:t>,</w:t>
      </w:r>
      <w:r>
        <w:rPr>
          <w:rFonts w:ascii="Arial" w:hAnsi="Arial" w:cs="Arial"/>
          <w:sz w:val="20"/>
          <w:szCs w:val="19"/>
          <w:lang w:val="it"/>
        </w:rPr>
        <w:t xml:space="preserve"> che </w:t>
      </w:r>
      <w:r w:rsidR="004C458C">
        <w:rPr>
          <w:rFonts w:ascii="Arial" w:hAnsi="Arial" w:cs="Arial"/>
          <w:sz w:val="20"/>
          <w:szCs w:val="19"/>
          <w:lang w:val="it"/>
        </w:rPr>
        <w:t xml:space="preserve">possano essere </w:t>
      </w:r>
      <w:r>
        <w:rPr>
          <w:rFonts w:ascii="Arial" w:hAnsi="Arial" w:cs="Arial"/>
          <w:sz w:val="20"/>
          <w:szCs w:val="19"/>
          <w:lang w:val="it"/>
        </w:rPr>
        <w:t>l</w:t>
      </w:r>
      <w:r w:rsidR="00FF3EC7">
        <w:rPr>
          <w:rFonts w:ascii="Arial" w:hAnsi="Arial" w:cs="Arial"/>
          <w:sz w:val="20"/>
          <w:szCs w:val="19"/>
          <w:lang w:val="it"/>
        </w:rPr>
        <w:t>e</w:t>
      </w:r>
      <w:r>
        <w:rPr>
          <w:rFonts w:ascii="Arial" w:hAnsi="Arial" w:cs="Arial"/>
          <w:sz w:val="20"/>
          <w:szCs w:val="19"/>
          <w:lang w:val="it"/>
        </w:rPr>
        <w:t xml:space="preserve"> costruzion</w:t>
      </w:r>
      <w:r w:rsidR="00FF3EC7">
        <w:rPr>
          <w:rFonts w:ascii="Arial" w:hAnsi="Arial" w:cs="Arial"/>
          <w:sz w:val="20"/>
          <w:szCs w:val="19"/>
          <w:lang w:val="it"/>
        </w:rPr>
        <w:t>i</w:t>
      </w:r>
      <w:r>
        <w:rPr>
          <w:rFonts w:ascii="Arial" w:hAnsi="Arial" w:cs="Arial"/>
          <w:sz w:val="20"/>
          <w:szCs w:val="19"/>
          <w:lang w:val="it"/>
        </w:rPr>
        <w:t xml:space="preserve"> civil</w:t>
      </w:r>
      <w:r w:rsidR="00FF3EC7">
        <w:rPr>
          <w:rFonts w:ascii="Arial" w:hAnsi="Arial" w:cs="Arial"/>
          <w:sz w:val="20"/>
          <w:szCs w:val="19"/>
          <w:lang w:val="it"/>
        </w:rPr>
        <w:t>i</w:t>
      </w:r>
      <w:r>
        <w:rPr>
          <w:rFonts w:ascii="Arial" w:hAnsi="Arial" w:cs="Arial"/>
          <w:sz w:val="20"/>
          <w:szCs w:val="19"/>
          <w:lang w:val="it"/>
        </w:rPr>
        <w:t xml:space="preserve"> pesant</w:t>
      </w:r>
      <w:r w:rsidR="00FF3EC7">
        <w:rPr>
          <w:rFonts w:ascii="Arial" w:hAnsi="Arial" w:cs="Arial"/>
          <w:sz w:val="20"/>
          <w:szCs w:val="19"/>
          <w:lang w:val="it"/>
        </w:rPr>
        <w:t>i</w:t>
      </w:r>
      <w:r>
        <w:rPr>
          <w:rFonts w:ascii="Arial" w:hAnsi="Arial" w:cs="Arial"/>
          <w:sz w:val="20"/>
          <w:szCs w:val="19"/>
          <w:lang w:val="it"/>
        </w:rPr>
        <w:t xml:space="preserve"> </w:t>
      </w:r>
      <w:r w:rsidR="004C458C">
        <w:rPr>
          <w:rFonts w:ascii="Arial" w:hAnsi="Arial" w:cs="Arial"/>
          <w:sz w:val="20"/>
          <w:szCs w:val="19"/>
          <w:lang w:val="it"/>
        </w:rPr>
        <w:t>ad “</w:t>
      </w:r>
      <w:r>
        <w:rPr>
          <w:rFonts w:ascii="Arial" w:hAnsi="Arial" w:cs="Arial"/>
          <w:sz w:val="20"/>
          <w:szCs w:val="19"/>
          <w:lang w:val="it"/>
        </w:rPr>
        <w:t>aprire le danze</w:t>
      </w:r>
      <w:r w:rsidR="004C458C">
        <w:rPr>
          <w:rFonts w:ascii="Arial" w:hAnsi="Arial" w:cs="Arial"/>
          <w:sz w:val="20"/>
          <w:szCs w:val="19"/>
          <w:lang w:val="it"/>
        </w:rPr>
        <w:t>”</w:t>
      </w:r>
      <w:r>
        <w:rPr>
          <w:rFonts w:ascii="Arial" w:hAnsi="Arial" w:cs="Arial"/>
          <w:sz w:val="20"/>
          <w:szCs w:val="19"/>
          <w:lang w:val="it"/>
        </w:rPr>
        <w:t>, iniziando con “l’industrializzazione del BIM” mediante flussi di lavoro digitali capaci di rendere il lavoro dei topografi, dei progettisti e dei costruttori automatizzato, continuo e sempre più valido, durante l’inte</w:t>
      </w:r>
      <w:r w:rsidR="006E7A16">
        <w:rPr>
          <w:rFonts w:ascii="Arial" w:hAnsi="Arial" w:cs="Arial"/>
          <w:sz w:val="20"/>
          <w:szCs w:val="19"/>
          <w:lang w:val="it"/>
        </w:rPr>
        <w:t xml:space="preserve">ro ciclo di vita del progetto. </w:t>
      </w:r>
      <w:r>
        <w:rPr>
          <w:rFonts w:ascii="Arial" w:hAnsi="Arial" w:cs="Arial"/>
          <w:sz w:val="20"/>
          <w:szCs w:val="19"/>
          <w:lang w:val="it"/>
        </w:rPr>
        <w:t xml:space="preserve">Sempre nel corso dell’anno passato, noi e Topcon abbiamo portato avanti la nostra collaborazione per realizzare insieme tecnologie di costruzione e progettazione integrate mediante servizi cloud in tempo reale, </w:t>
      </w:r>
      <w:r w:rsidR="0034149B">
        <w:rPr>
          <w:rFonts w:ascii="Arial" w:hAnsi="Arial" w:cs="Arial"/>
          <w:sz w:val="20"/>
          <w:szCs w:val="19"/>
          <w:lang w:val="it"/>
        </w:rPr>
        <w:t>collegando</w:t>
      </w:r>
      <w:r>
        <w:rPr>
          <w:rFonts w:ascii="Arial" w:hAnsi="Arial" w:cs="Arial"/>
          <w:sz w:val="20"/>
          <w:szCs w:val="19"/>
          <w:lang w:val="it"/>
        </w:rPr>
        <w:t xml:space="preserve"> i nostri rispettivi ambienti di dati e applicazioni connessi.  </w:t>
      </w:r>
    </w:p>
    <w:p w14:paraId="3E74A27A" w14:textId="77777777" w:rsidR="00932BDE" w:rsidRPr="0069644C" w:rsidRDefault="00932BDE" w:rsidP="00932BDE">
      <w:pPr>
        <w:rPr>
          <w:rFonts w:ascii="Arial" w:hAnsi="Arial" w:cs="Arial"/>
          <w:sz w:val="20"/>
          <w:szCs w:val="19"/>
          <w:lang w:val="it-IT"/>
        </w:rPr>
      </w:pPr>
    </w:p>
    <w:p w14:paraId="1B89ECBA" w14:textId="726EE814" w:rsidR="00932BDE" w:rsidRPr="0069644C" w:rsidRDefault="00932BDE" w:rsidP="00932BDE">
      <w:pPr>
        <w:rPr>
          <w:rFonts w:ascii="Arial" w:hAnsi="Arial" w:cs="Arial"/>
          <w:sz w:val="20"/>
          <w:szCs w:val="19"/>
          <w:lang w:val="it-IT"/>
        </w:rPr>
      </w:pPr>
      <w:r>
        <w:rPr>
          <w:rFonts w:ascii="Arial" w:hAnsi="Arial" w:cs="Arial"/>
          <w:sz w:val="20"/>
          <w:szCs w:val="19"/>
          <w:lang w:val="it"/>
        </w:rPr>
        <w:t xml:space="preserve">“I vantaggi del </w:t>
      </w:r>
      <w:proofErr w:type="spellStart"/>
      <w:r>
        <w:rPr>
          <w:rFonts w:ascii="Arial" w:hAnsi="Arial" w:cs="Arial"/>
          <w:i/>
          <w:iCs/>
          <w:sz w:val="20"/>
          <w:szCs w:val="19"/>
          <w:lang w:val="it"/>
        </w:rPr>
        <w:t>constructioneering</w:t>
      </w:r>
      <w:proofErr w:type="spellEnd"/>
      <w:r>
        <w:rPr>
          <w:rFonts w:ascii="Arial" w:hAnsi="Arial" w:cs="Arial"/>
          <w:sz w:val="20"/>
          <w:szCs w:val="19"/>
          <w:lang w:val="it"/>
        </w:rPr>
        <w:t xml:space="preserve">, che riflettono la loro visibilità digitale in risultati di progetto efficienti ed efficaci, sono così sostanziali da farmi ritenere i progetti delle infrastrutture civili finalmente bancabili, </w:t>
      </w:r>
      <w:r w:rsidR="006E7A16">
        <w:rPr>
          <w:rFonts w:ascii="Arial" w:hAnsi="Arial" w:cs="Arial"/>
          <w:sz w:val="20"/>
          <w:szCs w:val="19"/>
          <w:lang w:val="it"/>
        </w:rPr>
        <w:t xml:space="preserve">e </w:t>
      </w:r>
      <w:r w:rsidR="003B6855">
        <w:rPr>
          <w:rFonts w:ascii="Arial" w:hAnsi="Arial" w:cs="Arial"/>
          <w:sz w:val="20"/>
          <w:szCs w:val="19"/>
          <w:lang w:val="it"/>
        </w:rPr>
        <w:t xml:space="preserve">in grado </w:t>
      </w:r>
      <w:r w:rsidR="006E7A16">
        <w:rPr>
          <w:rFonts w:ascii="Arial" w:hAnsi="Arial" w:cs="Arial"/>
          <w:sz w:val="20"/>
          <w:szCs w:val="19"/>
          <w:lang w:val="it"/>
        </w:rPr>
        <w:t xml:space="preserve">di attrarre </w:t>
      </w:r>
      <w:r>
        <w:rPr>
          <w:rFonts w:ascii="Arial" w:hAnsi="Arial" w:cs="Arial"/>
          <w:sz w:val="20"/>
          <w:szCs w:val="19"/>
          <w:lang w:val="it"/>
        </w:rPr>
        <w:t>cospicu</w:t>
      </w:r>
      <w:r w:rsidR="006E7A16">
        <w:rPr>
          <w:rFonts w:ascii="Arial" w:hAnsi="Arial" w:cs="Arial"/>
          <w:sz w:val="20"/>
          <w:szCs w:val="19"/>
          <w:lang w:val="it"/>
        </w:rPr>
        <w:t>i</w:t>
      </w:r>
      <w:r>
        <w:rPr>
          <w:rFonts w:ascii="Arial" w:hAnsi="Arial" w:cs="Arial"/>
          <w:sz w:val="20"/>
          <w:szCs w:val="19"/>
          <w:lang w:val="it"/>
        </w:rPr>
        <w:t xml:space="preserve"> finanziament</w:t>
      </w:r>
      <w:r w:rsidR="006E7A16">
        <w:rPr>
          <w:rFonts w:ascii="Arial" w:hAnsi="Arial" w:cs="Arial"/>
          <w:sz w:val="20"/>
          <w:szCs w:val="19"/>
          <w:lang w:val="it"/>
        </w:rPr>
        <w:t>i</w:t>
      </w:r>
      <w:r>
        <w:rPr>
          <w:rFonts w:ascii="Arial" w:hAnsi="Arial" w:cs="Arial"/>
          <w:sz w:val="20"/>
          <w:szCs w:val="19"/>
          <w:lang w:val="it"/>
        </w:rPr>
        <w:t xml:space="preserve"> privat</w:t>
      </w:r>
      <w:r w:rsidR="006E7A16">
        <w:rPr>
          <w:rFonts w:ascii="Arial" w:hAnsi="Arial" w:cs="Arial"/>
          <w:sz w:val="20"/>
          <w:szCs w:val="19"/>
          <w:lang w:val="it"/>
        </w:rPr>
        <w:t>i</w:t>
      </w:r>
      <w:r>
        <w:rPr>
          <w:rFonts w:ascii="Arial" w:hAnsi="Arial" w:cs="Arial"/>
          <w:sz w:val="20"/>
          <w:szCs w:val="19"/>
          <w:lang w:val="it"/>
        </w:rPr>
        <w:t xml:space="preserve"> </w:t>
      </w:r>
      <w:r w:rsidR="0034149B">
        <w:rPr>
          <w:rFonts w:ascii="Arial" w:hAnsi="Arial" w:cs="Arial"/>
          <w:sz w:val="20"/>
          <w:szCs w:val="19"/>
          <w:lang w:val="it"/>
        </w:rPr>
        <w:t xml:space="preserve">in modo da </w:t>
      </w:r>
      <w:r>
        <w:rPr>
          <w:rFonts w:ascii="Arial" w:hAnsi="Arial" w:cs="Arial"/>
          <w:sz w:val="20"/>
          <w:szCs w:val="19"/>
          <w:lang w:val="it"/>
        </w:rPr>
        <w:t xml:space="preserve">colmare le lacune </w:t>
      </w:r>
      <w:r w:rsidR="0034149B">
        <w:rPr>
          <w:rFonts w:ascii="Arial" w:hAnsi="Arial" w:cs="Arial"/>
          <w:sz w:val="20"/>
          <w:szCs w:val="19"/>
          <w:lang w:val="it"/>
        </w:rPr>
        <w:t xml:space="preserve">in fatto di </w:t>
      </w:r>
      <w:r w:rsidR="003B6855">
        <w:rPr>
          <w:rFonts w:ascii="Arial" w:hAnsi="Arial" w:cs="Arial"/>
          <w:sz w:val="20"/>
          <w:szCs w:val="19"/>
          <w:lang w:val="it"/>
        </w:rPr>
        <w:t>copertur</w:t>
      </w:r>
      <w:r w:rsidR="0034149B">
        <w:rPr>
          <w:rFonts w:ascii="Arial" w:hAnsi="Arial" w:cs="Arial"/>
          <w:sz w:val="20"/>
          <w:szCs w:val="19"/>
          <w:lang w:val="it"/>
        </w:rPr>
        <w:t>a</w:t>
      </w:r>
      <w:r w:rsidR="003B6855">
        <w:rPr>
          <w:rFonts w:ascii="Arial" w:hAnsi="Arial" w:cs="Arial"/>
          <w:sz w:val="20"/>
          <w:szCs w:val="19"/>
          <w:lang w:val="it"/>
        </w:rPr>
        <w:t xml:space="preserve"> finanziari</w:t>
      </w:r>
      <w:r w:rsidR="0034149B">
        <w:rPr>
          <w:rFonts w:ascii="Arial" w:hAnsi="Arial" w:cs="Arial"/>
          <w:sz w:val="20"/>
          <w:szCs w:val="19"/>
          <w:lang w:val="it"/>
        </w:rPr>
        <w:t>a</w:t>
      </w:r>
      <w:r>
        <w:rPr>
          <w:rFonts w:ascii="Arial" w:hAnsi="Arial" w:cs="Arial"/>
          <w:sz w:val="20"/>
          <w:szCs w:val="19"/>
          <w:lang w:val="it"/>
        </w:rPr>
        <w:t>. I risultati possono essere significativi: in generale, crescita economica e qualità della vita migliorate!</w:t>
      </w:r>
    </w:p>
    <w:p w14:paraId="154B5D36" w14:textId="77777777" w:rsidR="00932BDE" w:rsidRPr="0069644C" w:rsidRDefault="00932BDE" w:rsidP="00932BDE">
      <w:pPr>
        <w:rPr>
          <w:rFonts w:ascii="Arial" w:hAnsi="Arial" w:cs="Arial"/>
          <w:sz w:val="20"/>
          <w:szCs w:val="19"/>
          <w:lang w:val="it-IT"/>
        </w:rPr>
      </w:pPr>
    </w:p>
    <w:p w14:paraId="07439898" w14:textId="2221B88C" w:rsidR="00932BDE" w:rsidRPr="0069644C" w:rsidRDefault="00932BDE" w:rsidP="00932BDE">
      <w:pPr>
        <w:rPr>
          <w:rFonts w:ascii="Arial" w:hAnsi="Arial" w:cs="Arial"/>
          <w:sz w:val="20"/>
          <w:szCs w:val="19"/>
          <w:lang w:val="it-IT"/>
        </w:rPr>
      </w:pPr>
      <w:r>
        <w:rPr>
          <w:rFonts w:ascii="Arial" w:hAnsi="Arial" w:cs="Arial"/>
          <w:sz w:val="20"/>
          <w:szCs w:val="19"/>
          <w:lang w:val="it"/>
        </w:rPr>
        <w:t>“La sfida del passaggio al digitale, ora come ora, è motivare e incentivare le ditte di progettazione e appaltatrici storicamente conservatrici, in modo che sia le persone</w:t>
      </w:r>
      <w:r w:rsidR="003B6855">
        <w:rPr>
          <w:rFonts w:ascii="Arial" w:hAnsi="Arial" w:cs="Arial"/>
          <w:sz w:val="20"/>
          <w:szCs w:val="19"/>
          <w:lang w:val="it"/>
        </w:rPr>
        <w:t>,</w:t>
      </w:r>
      <w:r>
        <w:rPr>
          <w:rFonts w:ascii="Arial" w:hAnsi="Arial" w:cs="Arial"/>
          <w:sz w:val="20"/>
          <w:szCs w:val="19"/>
          <w:lang w:val="it"/>
        </w:rPr>
        <w:t xml:space="preserve"> sia i processi</w:t>
      </w:r>
      <w:r w:rsidR="0034149B">
        <w:rPr>
          <w:rFonts w:ascii="Arial" w:hAnsi="Arial" w:cs="Arial"/>
          <w:sz w:val="20"/>
          <w:szCs w:val="19"/>
          <w:lang w:val="it"/>
        </w:rPr>
        <w:t>,</w:t>
      </w:r>
      <w:r>
        <w:rPr>
          <w:rFonts w:ascii="Arial" w:hAnsi="Arial" w:cs="Arial"/>
          <w:sz w:val="20"/>
          <w:szCs w:val="19"/>
          <w:lang w:val="it"/>
        </w:rPr>
        <w:t xml:space="preserve"> possano tenere il passo con </w:t>
      </w:r>
      <w:r w:rsidR="003B6855">
        <w:rPr>
          <w:rFonts w:ascii="Arial" w:hAnsi="Arial" w:cs="Arial"/>
          <w:sz w:val="20"/>
          <w:szCs w:val="19"/>
          <w:lang w:val="it"/>
        </w:rPr>
        <w:t>l’</w:t>
      </w:r>
      <w:r>
        <w:rPr>
          <w:rFonts w:ascii="Arial" w:hAnsi="Arial" w:cs="Arial"/>
          <w:sz w:val="20"/>
          <w:szCs w:val="19"/>
          <w:lang w:val="it"/>
        </w:rPr>
        <w:t xml:space="preserve">accelerazione della tecnologia del </w:t>
      </w:r>
      <w:proofErr w:type="spellStart"/>
      <w:r>
        <w:rPr>
          <w:rFonts w:ascii="Arial" w:hAnsi="Arial" w:cs="Arial"/>
          <w:sz w:val="20"/>
          <w:szCs w:val="19"/>
          <w:lang w:val="it"/>
        </w:rPr>
        <w:t>constructioneering</w:t>
      </w:r>
      <w:proofErr w:type="spellEnd"/>
      <w:r>
        <w:rPr>
          <w:rFonts w:ascii="Arial" w:hAnsi="Arial" w:cs="Arial"/>
          <w:sz w:val="20"/>
          <w:szCs w:val="19"/>
          <w:lang w:val="it"/>
        </w:rPr>
        <w:t xml:space="preserve">.  Noi e Topcon accettiamo con entusiasmo questa responsabilità e mettiamo insieme le nostre esperienze per promuovere e sostenere il progresso digitale. In Bentley Systems, i nostri programmi accademici hanno aiutato i titolari di importanti </w:t>
      </w:r>
      <w:r>
        <w:rPr>
          <w:rFonts w:ascii="Arial" w:hAnsi="Arial" w:cs="Arial"/>
          <w:sz w:val="20"/>
          <w:szCs w:val="19"/>
          <w:lang w:val="it"/>
        </w:rPr>
        <w:lastRenderedPageBreak/>
        <w:t>infrastrutture a fare confluire i propri consulenti, appaltatori e catene di fornitura</w:t>
      </w:r>
      <w:r w:rsidR="0034149B">
        <w:rPr>
          <w:rFonts w:ascii="Arial" w:hAnsi="Arial" w:cs="Arial"/>
          <w:sz w:val="20"/>
          <w:szCs w:val="19"/>
          <w:lang w:val="it"/>
        </w:rPr>
        <w:t>,</w:t>
      </w:r>
      <w:r>
        <w:rPr>
          <w:rFonts w:ascii="Arial" w:hAnsi="Arial" w:cs="Arial"/>
          <w:sz w:val="20"/>
          <w:szCs w:val="19"/>
          <w:lang w:val="it"/>
        </w:rPr>
        <w:t xml:space="preserve"> nel BIM e nei flussi di lavoro digitali, che sono di supporto per tutte le parti coinvolte ne</w:t>
      </w:r>
      <w:r w:rsidR="003B6855">
        <w:rPr>
          <w:rFonts w:ascii="Arial" w:hAnsi="Arial" w:cs="Arial"/>
          <w:sz w:val="20"/>
          <w:szCs w:val="19"/>
          <w:lang w:val="it"/>
        </w:rPr>
        <w:t xml:space="preserve">lla realizzazione progettuale. </w:t>
      </w:r>
      <w:r>
        <w:rPr>
          <w:rFonts w:ascii="Arial" w:hAnsi="Arial" w:cs="Arial"/>
          <w:sz w:val="20"/>
          <w:szCs w:val="19"/>
          <w:lang w:val="it"/>
        </w:rPr>
        <w:t xml:space="preserve">Topcon ha altresì investito nel miglioramento del personale e dei processi, inoltre noi aspiriamo a implementare la stessa intraprendenza e creatività nella collaborazione mirata alle </w:t>
      </w:r>
      <w:proofErr w:type="spellStart"/>
      <w:r>
        <w:rPr>
          <w:rFonts w:ascii="Arial" w:hAnsi="Arial" w:cs="Arial"/>
          <w:sz w:val="20"/>
          <w:szCs w:val="19"/>
          <w:lang w:val="it"/>
        </w:rPr>
        <w:t>Constructioneering</w:t>
      </w:r>
      <w:proofErr w:type="spellEnd"/>
      <w:r>
        <w:rPr>
          <w:rFonts w:ascii="Arial" w:hAnsi="Arial" w:cs="Arial"/>
          <w:sz w:val="20"/>
          <w:szCs w:val="19"/>
          <w:lang w:val="it"/>
        </w:rPr>
        <w:t xml:space="preserve"> </w:t>
      </w:r>
      <w:proofErr w:type="spellStart"/>
      <w:r>
        <w:rPr>
          <w:rFonts w:ascii="Arial" w:hAnsi="Arial" w:cs="Arial"/>
          <w:sz w:val="20"/>
          <w:szCs w:val="19"/>
          <w:lang w:val="it"/>
        </w:rPr>
        <w:t>Academies</w:t>
      </w:r>
      <w:proofErr w:type="spellEnd"/>
      <w:r>
        <w:rPr>
          <w:rFonts w:ascii="Arial" w:hAnsi="Arial" w:cs="Arial"/>
          <w:sz w:val="20"/>
          <w:szCs w:val="19"/>
          <w:lang w:val="it"/>
        </w:rPr>
        <w:t>, come abbiamo già dimostrato ampiamente con le nostre iniziative tecniche congiunte”.</w:t>
      </w:r>
    </w:p>
    <w:p w14:paraId="4741A6A2" w14:textId="77777777" w:rsidR="00932BDE" w:rsidRPr="0069644C" w:rsidRDefault="00932BDE" w:rsidP="00932BDE">
      <w:pPr>
        <w:rPr>
          <w:rFonts w:ascii="Arial" w:hAnsi="Arial" w:cs="Arial"/>
          <w:sz w:val="20"/>
          <w:szCs w:val="19"/>
          <w:lang w:val="it-IT"/>
        </w:rPr>
      </w:pPr>
    </w:p>
    <w:p w14:paraId="3CA25D28" w14:textId="5C87C202" w:rsidR="00932BDE" w:rsidRPr="0069644C" w:rsidRDefault="00932BDE" w:rsidP="00932BDE">
      <w:pPr>
        <w:rPr>
          <w:rFonts w:ascii="Arial" w:hAnsi="Arial" w:cs="Arial"/>
          <w:sz w:val="20"/>
          <w:szCs w:val="19"/>
          <w:lang w:val="it-IT"/>
        </w:rPr>
      </w:pPr>
      <w:r>
        <w:rPr>
          <w:rFonts w:ascii="Arial" w:hAnsi="Arial" w:cs="Arial"/>
          <w:sz w:val="20"/>
          <w:szCs w:val="19"/>
          <w:lang w:val="it"/>
        </w:rPr>
        <w:t xml:space="preserve">Il </w:t>
      </w:r>
      <w:proofErr w:type="spellStart"/>
      <w:r>
        <w:rPr>
          <w:rFonts w:ascii="Arial" w:hAnsi="Arial" w:cs="Arial"/>
          <w:i/>
          <w:iCs/>
          <w:sz w:val="20"/>
          <w:szCs w:val="19"/>
          <w:lang w:val="it"/>
        </w:rPr>
        <w:t>c</w:t>
      </w:r>
      <w:r w:rsidR="00C7476A">
        <w:rPr>
          <w:rFonts w:ascii="Arial" w:hAnsi="Arial" w:cs="Arial"/>
          <w:i/>
          <w:iCs/>
          <w:sz w:val="20"/>
          <w:szCs w:val="19"/>
          <w:lang w:val="it"/>
        </w:rPr>
        <w:t>on</w:t>
      </w:r>
      <w:r>
        <w:rPr>
          <w:rFonts w:ascii="Arial" w:hAnsi="Arial" w:cs="Arial"/>
          <w:i/>
          <w:iCs/>
          <w:sz w:val="20"/>
          <w:szCs w:val="19"/>
          <w:lang w:val="it"/>
        </w:rPr>
        <w:t>structioneering</w:t>
      </w:r>
      <w:proofErr w:type="spellEnd"/>
      <w:r>
        <w:rPr>
          <w:rFonts w:ascii="Arial" w:hAnsi="Arial" w:cs="Arial"/>
          <w:sz w:val="20"/>
          <w:szCs w:val="19"/>
          <w:lang w:val="it"/>
        </w:rPr>
        <w:t xml:space="preserve"> permette ai progettisti di iniziare a lavorare sulla base di un modello 3D accurato delle condizioni effettive del </w:t>
      </w:r>
      <w:r w:rsidR="003B6855">
        <w:rPr>
          <w:rFonts w:ascii="Arial" w:hAnsi="Arial" w:cs="Arial"/>
          <w:sz w:val="20"/>
          <w:szCs w:val="19"/>
          <w:lang w:val="it"/>
        </w:rPr>
        <w:t xml:space="preserve">cantiere (così come </w:t>
      </w:r>
      <w:r>
        <w:rPr>
          <w:rFonts w:ascii="Arial" w:hAnsi="Arial" w:cs="Arial"/>
          <w:sz w:val="20"/>
          <w:szCs w:val="19"/>
          <w:lang w:val="it"/>
        </w:rPr>
        <w:t>rilevate d</w:t>
      </w:r>
      <w:r w:rsidR="003B6855">
        <w:rPr>
          <w:rFonts w:ascii="Arial" w:hAnsi="Arial" w:cs="Arial"/>
          <w:sz w:val="20"/>
          <w:szCs w:val="19"/>
          <w:lang w:val="it"/>
        </w:rPr>
        <w:t xml:space="preserve">agli APR e </w:t>
      </w:r>
      <w:r w:rsidR="0034149B">
        <w:rPr>
          <w:rFonts w:ascii="Arial" w:hAnsi="Arial" w:cs="Arial"/>
          <w:sz w:val="20"/>
          <w:szCs w:val="19"/>
          <w:lang w:val="it"/>
        </w:rPr>
        <w:t xml:space="preserve">dai </w:t>
      </w:r>
      <w:r w:rsidR="003B6855">
        <w:rPr>
          <w:rFonts w:ascii="Arial" w:hAnsi="Arial" w:cs="Arial"/>
          <w:sz w:val="20"/>
          <w:szCs w:val="19"/>
          <w:lang w:val="it"/>
        </w:rPr>
        <w:t xml:space="preserve">laser scanner </w:t>
      </w:r>
      <w:r>
        <w:rPr>
          <w:rFonts w:ascii="Arial" w:hAnsi="Arial" w:cs="Arial"/>
          <w:sz w:val="20"/>
          <w:szCs w:val="19"/>
          <w:lang w:val="it"/>
        </w:rPr>
        <w:t>Topcon</w:t>
      </w:r>
      <w:r w:rsidR="003B6855">
        <w:rPr>
          <w:rFonts w:ascii="Arial" w:hAnsi="Arial" w:cs="Arial"/>
          <w:sz w:val="20"/>
          <w:szCs w:val="19"/>
          <w:lang w:val="it"/>
        </w:rPr>
        <w:t>)</w:t>
      </w:r>
      <w:r>
        <w:rPr>
          <w:rFonts w:ascii="Arial" w:hAnsi="Arial" w:cs="Arial"/>
          <w:sz w:val="20"/>
          <w:szCs w:val="19"/>
          <w:lang w:val="it"/>
        </w:rPr>
        <w:t xml:space="preserve"> le quali possono essere elaborate per ottenere un reticolato 3D virtuale pronto per l’intervento progettuale. I servizi cloud consentono di trasferire il lavoro del progettista direttamente nei processi costruttivi sul campo. I modelli digitali che ne risultano si possono utilizzare mediante il controllo macchina 3D che guida </w:t>
      </w:r>
      <w:r w:rsidR="003B6855">
        <w:rPr>
          <w:rFonts w:ascii="Arial" w:hAnsi="Arial" w:cs="Arial"/>
          <w:sz w:val="20"/>
          <w:szCs w:val="19"/>
          <w:lang w:val="it"/>
        </w:rPr>
        <w:t xml:space="preserve">le </w:t>
      </w:r>
      <w:r>
        <w:rPr>
          <w:rFonts w:ascii="Arial" w:hAnsi="Arial" w:cs="Arial"/>
          <w:sz w:val="20"/>
          <w:szCs w:val="19"/>
          <w:lang w:val="it"/>
        </w:rPr>
        <w:t>macchin</w:t>
      </w:r>
      <w:r w:rsidR="003B6855">
        <w:rPr>
          <w:rFonts w:ascii="Arial" w:hAnsi="Arial" w:cs="Arial"/>
          <w:sz w:val="20"/>
          <w:szCs w:val="19"/>
          <w:lang w:val="it"/>
        </w:rPr>
        <w:t>e di cantiere</w:t>
      </w:r>
      <w:r>
        <w:rPr>
          <w:rFonts w:ascii="Arial" w:hAnsi="Arial" w:cs="Arial"/>
          <w:sz w:val="20"/>
          <w:szCs w:val="19"/>
          <w:lang w:val="it"/>
        </w:rPr>
        <w:t xml:space="preserve">. Rispetto ai flussi di lavoro tradizionali fra progettazione e costruzione, in cui i dati dei modelli progettuali digitali vanno spesso persi e ricreati con scarsa efficacia, il </w:t>
      </w:r>
      <w:proofErr w:type="spellStart"/>
      <w:r>
        <w:rPr>
          <w:rFonts w:ascii="Arial" w:hAnsi="Arial" w:cs="Arial"/>
          <w:i/>
          <w:iCs/>
          <w:sz w:val="20"/>
          <w:szCs w:val="19"/>
          <w:lang w:val="it"/>
        </w:rPr>
        <w:t>con</w:t>
      </w:r>
      <w:r w:rsidR="00BE6753">
        <w:rPr>
          <w:rFonts w:ascii="Arial" w:hAnsi="Arial" w:cs="Arial"/>
          <w:i/>
          <w:iCs/>
          <w:sz w:val="20"/>
          <w:szCs w:val="19"/>
          <w:lang w:val="it"/>
        </w:rPr>
        <w:t>s</w:t>
      </w:r>
      <w:r>
        <w:rPr>
          <w:rFonts w:ascii="Arial" w:hAnsi="Arial" w:cs="Arial"/>
          <w:i/>
          <w:iCs/>
          <w:sz w:val="20"/>
          <w:szCs w:val="19"/>
          <w:lang w:val="it"/>
        </w:rPr>
        <w:t>tructioneering</w:t>
      </w:r>
      <w:proofErr w:type="spellEnd"/>
      <w:r>
        <w:rPr>
          <w:rFonts w:ascii="Arial" w:hAnsi="Arial" w:cs="Arial"/>
          <w:sz w:val="20"/>
          <w:szCs w:val="19"/>
          <w:lang w:val="it"/>
        </w:rPr>
        <w:t xml:space="preserve"> permette l’integrazione diretta dei modelli costruibili, con aggiornamenti e scambio di dati in tempo reale, migliorando l’efficienza e riducendo i costi. Topcon e Bentley collaboreranno per creare il curriculum di una </w:t>
      </w:r>
      <w:proofErr w:type="spellStart"/>
      <w:r>
        <w:rPr>
          <w:rFonts w:ascii="Arial" w:hAnsi="Arial" w:cs="Arial"/>
          <w:sz w:val="20"/>
          <w:szCs w:val="19"/>
          <w:lang w:val="it"/>
        </w:rPr>
        <w:t>Constructioneering</w:t>
      </w:r>
      <w:proofErr w:type="spellEnd"/>
      <w:r>
        <w:rPr>
          <w:rFonts w:ascii="Arial" w:hAnsi="Arial" w:cs="Arial"/>
          <w:sz w:val="20"/>
          <w:szCs w:val="19"/>
          <w:lang w:val="it"/>
        </w:rPr>
        <w:t xml:space="preserve"> Academy che sarà implementato contestualmente ai centri di formazione già esistenti e ubicati a </w:t>
      </w:r>
      <w:proofErr w:type="spellStart"/>
      <w:r>
        <w:rPr>
          <w:rFonts w:ascii="Arial" w:hAnsi="Arial" w:cs="Arial"/>
          <w:sz w:val="20"/>
          <w:szCs w:val="19"/>
          <w:lang w:val="it"/>
        </w:rPr>
        <w:t>Livermore</w:t>
      </w:r>
      <w:proofErr w:type="spellEnd"/>
      <w:r>
        <w:rPr>
          <w:rFonts w:ascii="Arial" w:hAnsi="Arial" w:cs="Arial"/>
          <w:sz w:val="20"/>
          <w:szCs w:val="19"/>
          <w:lang w:val="it"/>
        </w:rPr>
        <w:t xml:space="preserve">, California (Topcon), Houston, Texas, e Londra, Regno Unito (Bentley). </w:t>
      </w:r>
    </w:p>
    <w:p w14:paraId="3BDCAC3C" w14:textId="77777777" w:rsidR="00932BDE" w:rsidRPr="0069644C" w:rsidRDefault="00932BDE" w:rsidP="00932BDE">
      <w:pPr>
        <w:rPr>
          <w:rFonts w:ascii="Arial" w:hAnsi="Arial" w:cs="Arial"/>
          <w:sz w:val="20"/>
          <w:szCs w:val="19"/>
          <w:lang w:val="it-IT"/>
        </w:rPr>
      </w:pPr>
    </w:p>
    <w:p w14:paraId="1BC8586F" w14:textId="1C89E34B" w:rsidR="00932BDE" w:rsidRPr="0069644C" w:rsidRDefault="00932BDE" w:rsidP="00932BDE">
      <w:pPr>
        <w:rPr>
          <w:rFonts w:ascii="Arial" w:hAnsi="Arial" w:cs="Arial"/>
          <w:sz w:val="20"/>
          <w:szCs w:val="19"/>
          <w:lang w:val="it-IT"/>
        </w:rPr>
      </w:pPr>
      <w:proofErr w:type="spellStart"/>
      <w:r>
        <w:rPr>
          <w:rFonts w:ascii="Arial" w:hAnsi="Arial" w:cs="Arial"/>
          <w:sz w:val="20"/>
          <w:szCs w:val="19"/>
          <w:lang w:val="it"/>
        </w:rPr>
        <w:t>Vinayak</w:t>
      </w:r>
      <w:proofErr w:type="spellEnd"/>
      <w:r>
        <w:rPr>
          <w:rFonts w:ascii="Arial" w:hAnsi="Arial" w:cs="Arial"/>
          <w:sz w:val="20"/>
          <w:szCs w:val="19"/>
          <w:lang w:val="it"/>
        </w:rPr>
        <w:t xml:space="preserve"> </w:t>
      </w:r>
      <w:proofErr w:type="spellStart"/>
      <w:r>
        <w:rPr>
          <w:rFonts w:ascii="Arial" w:hAnsi="Arial" w:cs="Arial"/>
          <w:sz w:val="20"/>
          <w:szCs w:val="19"/>
          <w:lang w:val="it"/>
        </w:rPr>
        <w:t>Trivedi</w:t>
      </w:r>
      <w:proofErr w:type="spellEnd"/>
      <w:r>
        <w:rPr>
          <w:rFonts w:ascii="Arial" w:hAnsi="Arial" w:cs="Arial"/>
          <w:sz w:val="20"/>
          <w:szCs w:val="19"/>
          <w:lang w:val="it"/>
        </w:rPr>
        <w:t xml:space="preserve">, Vice </w:t>
      </w:r>
      <w:proofErr w:type="spellStart"/>
      <w:r>
        <w:rPr>
          <w:rFonts w:ascii="Arial" w:hAnsi="Arial" w:cs="Arial"/>
          <w:sz w:val="20"/>
          <w:szCs w:val="19"/>
          <w:lang w:val="it"/>
        </w:rPr>
        <w:t>President</w:t>
      </w:r>
      <w:proofErr w:type="spellEnd"/>
      <w:r>
        <w:rPr>
          <w:rFonts w:ascii="Arial" w:hAnsi="Arial" w:cs="Arial"/>
          <w:sz w:val="20"/>
          <w:szCs w:val="19"/>
          <w:lang w:val="it"/>
        </w:rPr>
        <w:t xml:space="preserve"> del Bentley </w:t>
      </w:r>
      <w:proofErr w:type="spellStart"/>
      <w:r>
        <w:rPr>
          <w:rFonts w:ascii="Arial" w:hAnsi="Arial" w:cs="Arial"/>
          <w:sz w:val="20"/>
          <w:szCs w:val="19"/>
          <w:lang w:val="it"/>
        </w:rPr>
        <w:t>Institute</w:t>
      </w:r>
      <w:proofErr w:type="spellEnd"/>
      <w:r>
        <w:rPr>
          <w:rFonts w:ascii="Arial" w:hAnsi="Arial" w:cs="Arial"/>
          <w:sz w:val="20"/>
          <w:szCs w:val="19"/>
          <w:lang w:val="it"/>
        </w:rPr>
        <w:t xml:space="preserve">, ha commentato: “La collaborazione nell’ambito del </w:t>
      </w:r>
      <w:proofErr w:type="spellStart"/>
      <w:r>
        <w:rPr>
          <w:rFonts w:ascii="Arial" w:hAnsi="Arial" w:cs="Arial"/>
          <w:i/>
          <w:iCs/>
          <w:sz w:val="20"/>
          <w:szCs w:val="19"/>
          <w:lang w:val="it"/>
        </w:rPr>
        <w:t>constructioneering</w:t>
      </w:r>
      <w:proofErr w:type="spellEnd"/>
      <w:r>
        <w:rPr>
          <w:rFonts w:ascii="Arial" w:hAnsi="Arial" w:cs="Arial"/>
          <w:i/>
          <w:iCs/>
          <w:sz w:val="20"/>
          <w:szCs w:val="19"/>
          <w:lang w:val="it"/>
        </w:rPr>
        <w:t xml:space="preserve"> </w:t>
      </w:r>
      <w:r>
        <w:rPr>
          <w:rFonts w:ascii="Arial" w:hAnsi="Arial" w:cs="Arial"/>
          <w:sz w:val="20"/>
          <w:szCs w:val="19"/>
          <w:lang w:val="it"/>
        </w:rPr>
        <w:t xml:space="preserve">con i nostri compagni d’avventura di Topcon espanderà </w:t>
      </w:r>
      <w:r w:rsidR="0034149B">
        <w:rPr>
          <w:rFonts w:ascii="Arial" w:hAnsi="Arial" w:cs="Arial"/>
          <w:sz w:val="20"/>
          <w:szCs w:val="19"/>
          <w:lang w:val="it"/>
        </w:rPr>
        <w:t>compiutamente</w:t>
      </w:r>
      <w:r>
        <w:rPr>
          <w:rFonts w:ascii="Arial" w:hAnsi="Arial" w:cs="Arial"/>
          <w:sz w:val="20"/>
          <w:szCs w:val="19"/>
          <w:lang w:val="it"/>
        </w:rPr>
        <w:t xml:space="preserve"> il nostro </w:t>
      </w:r>
      <w:r w:rsidR="00B1777C">
        <w:rPr>
          <w:rFonts w:ascii="Arial" w:hAnsi="Arial" w:cs="Arial"/>
          <w:sz w:val="20"/>
          <w:szCs w:val="19"/>
          <w:lang w:val="it"/>
        </w:rPr>
        <w:t xml:space="preserve">collaudato </w:t>
      </w:r>
      <w:r>
        <w:rPr>
          <w:rFonts w:ascii="Arial" w:hAnsi="Arial" w:cs="Arial"/>
          <w:sz w:val="20"/>
          <w:szCs w:val="19"/>
          <w:lang w:val="it"/>
        </w:rPr>
        <w:t>programma accademico globale</w:t>
      </w:r>
      <w:r w:rsidR="00B1777C">
        <w:rPr>
          <w:rFonts w:ascii="Arial" w:hAnsi="Arial" w:cs="Arial"/>
          <w:sz w:val="20"/>
          <w:szCs w:val="19"/>
          <w:lang w:val="it"/>
        </w:rPr>
        <w:t>,</w:t>
      </w:r>
      <w:r>
        <w:rPr>
          <w:rFonts w:ascii="Arial" w:hAnsi="Arial" w:cs="Arial"/>
          <w:sz w:val="20"/>
          <w:szCs w:val="19"/>
          <w:lang w:val="it"/>
        </w:rPr>
        <w:t xml:space="preserve"> al fine di condividere i progressi e supportare le organizzazioni de</w:t>
      </w:r>
      <w:r w:rsidR="0034149B">
        <w:rPr>
          <w:rFonts w:ascii="Arial" w:hAnsi="Arial" w:cs="Arial"/>
          <w:sz w:val="20"/>
          <w:szCs w:val="19"/>
          <w:lang w:val="it"/>
        </w:rPr>
        <w:t xml:space="preserve">gli </w:t>
      </w:r>
      <w:r>
        <w:rPr>
          <w:rFonts w:ascii="Arial" w:hAnsi="Arial" w:cs="Arial"/>
          <w:sz w:val="20"/>
          <w:szCs w:val="19"/>
          <w:lang w:val="it"/>
        </w:rPr>
        <w:t>uten</w:t>
      </w:r>
      <w:r w:rsidR="0034149B">
        <w:rPr>
          <w:rFonts w:ascii="Arial" w:hAnsi="Arial" w:cs="Arial"/>
          <w:sz w:val="20"/>
          <w:szCs w:val="19"/>
          <w:lang w:val="it"/>
        </w:rPr>
        <w:t>ti</w:t>
      </w:r>
      <w:r w:rsidR="00B1777C">
        <w:rPr>
          <w:rFonts w:ascii="Arial" w:hAnsi="Arial" w:cs="Arial"/>
          <w:sz w:val="20"/>
          <w:szCs w:val="19"/>
          <w:lang w:val="it"/>
        </w:rPr>
        <w:t xml:space="preserve"> e </w:t>
      </w:r>
      <w:r>
        <w:rPr>
          <w:rFonts w:ascii="Arial" w:hAnsi="Arial" w:cs="Arial"/>
          <w:sz w:val="20"/>
          <w:szCs w:val="19"/>
          <w:lang w:val="it"/>
        </w:rPr>
        <w:t xml:space="preserve">le </w:t>
      </w:r>
      <w:r w:rsidR="00B1777C">
        <w:rPr>
          <w:rFonts w:ascii="Arial" w:hAnsi="Arial" w:cs="Arial"/>
          <w:sz w:val="20"/>
          <w:szCs w:val="19"/>
          <w:lang w:val="it"/>
        </w:rPr>
        <w:t xml:space="preserve">loro </w:t>
      </w:r>
      <w:r>
        <w:rPr>
          <w:rFonts w:ascii="Arial" w:hAnsi="Arial" w:cs="Arial"/>
          <w:sz w:val="20"/>
          <w:szCs w:val="19"/>
          <w:lang w:val="it"/>
        </w:rPr>
        <w:t>catene di fornit</w:t>
      </w:r>
      <w:r w:rsidR="00B1777C">
        <w:rPr>
          <w:rFonts w:ascii="Arial" w:hAnsi="Arial" w:cs="Arial"/>
          <w:sz w:val="20"/>
          <w:szCs w:val="19"/>
          <w:lang w:val="it"/>
        </w:rPr>
        <w:t>ori</w:t>
      </w:r>
      <w:r>
        <w:rPr>
          <w:rFonts w:ascii="Arial" w:hAnsi="Arial" w:cs="Arial"/>
          <w:sz w:val="20"/>
          <w:szCs w:val="19"/>
          <w:lang w:val="it"/>
        </w:rPr>
        <w:t xml:space="preserve">, a passare al digitale. Apriremo nuove sedi accademiche nei prossimi mesi anche a Pune, India, a </w:t>
      </w:r>
      <w:r w:rsidR="00B1777C">
        <w:rPr>
          <w:rFonts w:ascii="Arial" w:hAnsi="Arial" w:cs="Arial"/>
          <w:sz w:val="20"/>
          <w:szCs w:val="19"/>
          <w:lang w:val="it"/>
        </w:rPr>
        <w:t xml:space="preserve">Dubai, EAU, e a Pechino, Cina. </w:t>
      </w:r>
      <w:r>
        <w:rPr>
          <w:rFonts w:ascii="Arial" w:hAnsi="Arial" w:cs="Arial"/>
          <w:sz w:val="20"/>
          <w:szCs w:val="19"/>
          <w:lang w:val="it"/>
        </w:rPr>
        <w:t xml:space="preserve">Sempre supportando i centri di formazione Topcon, le nostre priorità comprendono la virtualizzazione dei programmi della </w:t>
      </w:r>
      <w:proofErr w:type="spellStart"/>
      <w:r>
        <w:rPr>
          <w:rFonts w:ascii="Arial" w:hAnsi="Arial" w:cs="Arial"/>
          <w:sz w:val="20"/>
          <w:szCs w:val="19"/>
          <w:lang w:val="it"/>
        </w:rPr>
        <w:t>Constructioneering</w:t>
      </w:r>
      <w:proofErr w:type="spellEnd"/>
      <w:r>
        <w:rPr>
          <w:rFonts w:ascii="Arial" w:hAnsi="Arial" w:cs="Arial"/>
          <w:sz w:val="20"/>
          <w:szCs w:val="19"/>
          <w:lang w:val="it"/>
        </w:rPr>
        <w:t xml:space="preserve"> Academy grazie al supporto di strutture universitarie dotate di programmi all’avanguardia nel settore delle costruzioni”.</w:t>
      </w:r>
    </w:p>
    <w:p w14:paraId="6FF55D9B" w14:textId="77777777" w:rsidR="00932BDE" w:rsidRPr="0069644C" w:rsidRDefault="00932BDE" w:rsidP="00932BDE">
      <w:pPr>
        <w:rPr>
          <w:rFonts w:ascii="Arial" w:hAnsi="Arial" w:cs="Arial"/>
          <w:sz w:val="20"/>
          <w:szCs w:val="19"/>
          <w:lang w:val="it-IT"/>
        </w:rPr>
      </w:pPr>
    </w:p>
    <w:p w14:paraId="331507DC" w14:textId="77777777" w:rsidR="00937F53" w:rsidRPr="0069644C" w:rsidRDefault="00937F53" w:rsidP="008223E1">
      <w:pPr>
        <w:rPr>
          <w:rFonts w:ascii="Arial" w:hAnsi="Arial" w:cs="Arial"/>
          <w:b/>
          <w:color w:val="808080" w:themeColor="background1" w:themeShade="80"/>
          <w:sz w:val="19"/>
          <w:szCs w:val="19"/>
          <w:lang w:val="it-IT"/>
        </w:rPr>
      </w:pPr>
    </w:p>
    <w:p w14:paraId="48DB42D6" w14:textId="77777777" w:rsidR="00932BDE" w:rsidRPr="0069644C" w:rsidRDefault="00932BDE" w:rsidP="00932BDE">
      <w:pPr>
        <w:rPr>
          <w:rFonts w:ascii="Arial" w:hAnsi="Arial" w:cs="Arial"/>
          <w:b/>
          <w:color w:val="808080" w:themeColor="background1" w:themeShade="80"/>
          <w:sz w:val="15"/>
          <w:szCs w:val="13"/>
          <w:lang w:val="it-IT"/>
        </w:rPr>
      </w:pPr>
      <w:r>
        <w:rPr>
          <w:rFonts w:ascii="Arial" w:hAnsi="Arial" w:cs="Arial"/>
          <w:b/>
          <w:bCs/>
          <w:color w:val="808080" w:themeColor="background1" w:themeShade="80"/>
          <w:sz w:val="15"/>
          <w:szCs w:val="13"/>
          <w:lang w:val="it"/>
        </w:rPr>
        <w:t>A proposito delle iniziative digitali congiunte</w:t>
      </w:r>
    </w:p>
    <w:p w14:paraId="1E9FE343" w14:textId="77777777" w:rsidR="00932BDE" w:rsidRPr="0069644C" w:rsidRDefault="00932BDE" w:rsidP="00932BDE">
      <w:pPr>
        <w:rPr>
          <w:rFonts w:ascii="Arial" w:hAnsi="Arial" w:cs="Arial"/>
          <w:color w:val="808080" w:themeColor="background1" w:themeShade="80"/>
          <w:sz w:val="15"/>
          <w:szCs w:val="13"/>
          <w:lang w:val="it-IT"/>
        </w:rPr>
      </w:pPr>
      <w:r>
        <w:rPr>
          <w:rFonts w:ascii="Arial" w:hAnsi="Arial" w:cs="Arial"/>
          <w:color w:val="808080" w:themeColor="background1" w:themeShade="80"/>
          <w:sz w:val="15"/>
          <w:szCs w:val="13"/>
          <w:lang w:val="it"/>
        </w:rPr>
        <w:t xml:space="preserve">Bentley Systems sta intraprendendo una collaborazione con altri soggetti eminenti che operano nella catena di fornitura dei beni infrastrutturali, al fine di accelerare il raggiungimento dei vantaggi derivanti dal </w:t>
      </w:r>
      <w:r>
        <w:rPr>
          <w:rFonts w:ascii="Arial" w:hAnsi="Arial" w:cs="Arial"/>
          <w:i/>
          <w:iCs/>
          <w:color w:val="808080" w:themeColor="background1" w:themeShade="80"/>
          <w:sz w:val="15"/>
          <w:szCs w:val="13"/>
          <w:lang w:val="it"/>
        </w:rPr>
        <w:t>passaggio al digitale</w:t>
      </w:r>
      <w:r>
        <w:rPr>
          <w:rFonts w:ascii="Arial" w:hAnsi="Arial" w:cs="Arial"/>
          <w:color w:val="808080" w:themeColor="background1" w:themeShade="80"/>
          <w:sz w:val="15"/>
          <w:szCs w:val="13"/>
          <w:lang w:val="it"/>
        </w:rPr>
        <w:t>.  Le parti lavorano insieme per garantire che i rispettivi servizi cloud si confederino perfettamente e interagiscano con efficacia, creando flussi di lavoro digitali trasformativi.  Ognuna delle parti digitali coinvolte nell’iniziativa potrà quindi associare le offerte, comprendendo gli altrui servizi cloud.  Le parti digitali attualmente in gioco sono Microsoft, Siemens, Topcon e Bureau Veritas.</w:t>
      </w:r>
    </w:p>
    <w:p w14:paraId="76DE3ACF" w14:textId="77777777" w:rsidR="00932BDE" w:rsidRPr="0069644C" w:rsidRDefault="00932BDE" w:rsidP="00932BDE">
      <w:pPr>
        <w:rPr>
          <w:rFonts w:ascii="Arial" w:hAnsi="Arial" w:cs="Arial"/>
          <w:b/>
          <w:color w:val="808080" w:themeColor="background1" w:themeShade="80"/>
          <w:sz w:val="15"/>
          <w:szCs w:val="13"/>
          <w:lang w:val="it-IT"/>
        </w:rPr>
      </w:pPr>
    </w:p>
    <w:p w14:paraId="4682FD40" w14:textId="674F087C" w:rsidR="00932BDE" w:rsidRPr="0069644C" w:rsidRDefault="00B1777C" w:rsidP="00932BDE">
      <w:pPr>
        <w:rPr>
          <w:rFonts w:ascii="Arial" w:hAnsi="Arial" w:cs="Arial"/>
          <w:b/>
          <w:color w:val="808080" w:themeColor="background1" w:themeShade="80"/>
          <w:sz w:val="15"/>
          <w:szCs w:val="13"/>
          <w:lang w:val="it-IT"/>
        </w:rPr>
      </w:pPr>
      <w:r>
        <w:rPr>
          <w:rFonts w:ascii="Arial" w:hAnsi="Arial" w:cs="Arial"/>
          <w:b/>
          <w:bCs/>
          <w:color w:val="808080" w:themeColor="background1" w:themeShade="80"/>
          <w:sz w:val="15"/>
          <w:szCs w:val="13"/>
          <w:lang w:val="it"/>
        </w:rPr>
        <w:t>Informazioni su</w:t>
      </w:r>
      <w:r w:rsidR="00932BDE">
        <w:rPr>
          <w:rFonts w:ascii="Arial" w:hAnsi="Arial" w:cs="Arial"/>
          <w:b/>
          <w:bCs/>
          <w:color w:val="808080" w:themeColor="background1" w:themeShade="80"/>
          <w:sz w:val="15"/>
          <w:szCs w:val="13"/>
          <w:lang w:val="it"/>
        </w:rPr>
        <w:t xml:space="preserve"> Topcon</w:t>
      </w:r>
    </w:p>
    <w:p w14:paraId="2A3A6960" w14:textId="77777777" w:rsidR="00932BDE" w:rsidRPr="0069644C" w:rsidRDefault="00932BDE" w:rsidP="00932BDE">
      <w:pPr>
        <w:rPr>
          <w:rFonts w:ascii="Arial" w:hAnsi="Arial" w:cs="Arial"/>
          <w:b/>
          <w:color w:val="808080" w:themeColor="background1" w:themeShade="80"/>
          <w:sz w:val="15"/>
          <w:szCs w:val="13"/>
          <w:lang w:val="it-IT"/>
        </w:rPr>
      </w:pPr>
      <w:r>
        <w:rPr>
          <w:rFonts w:ascii="Arial" w:hAnsi="Arial" w:cs="Arial"/>
          <w:color w:val="808080" w:themeColor="background1" w:themeShade="80"/>
          <w:sz w:val="15"/>
          <w:szCs w:val="13"/>
          <w:lang w:val="it"/>
        </w:rPr>
        <w:t xml:space="preserve">Il gruppo Topcon Positioning ha il suo quartier generale a </w:t>
      </w:r>
      <w:proofErr w:type="spellStart"/>
      <w:r>
        <w:rPr>
          <w:rFonts w:ascii="Arial" w:hAnsi="Arial" w:cs="Arial"/>
          <w:color w:val="808080" w:themeColor="background1" w:themeShade="80"/>
          <w:sz w:val="15"/>
          <w:szCs w:val="13"/>
          <w:lang w:val="it"/>
        </w:rPr>
        <w:t>Livermore</w:t>
      </w:r>
      <w:proofErr w:type="spellEnd"/>
      <w:r>
        <w:rPr>
          <w:rFonts w:ascii="Arial" w:hAnsi="Arial" w:cs="Arial"/>
          <w:color w:val="808080" w:themeColor="background1" w:themeShade="80"/>
          <w:sz w:val="15"/>
          <w:szCs w:val="13"/>
          <w:lang w:val="it"/>
        </w:rPr>
        <w:t>, in California, USA (</w:t>
      </w:r>
      <w:hyperlink r:id="rId9" w:history="1">
        <w:r>
          <w:rPr>
            <w:rStyle w:val="Collegamentoipertestuale"/>
            <w:rFonts w:ascii="Arial" w:hAnsi="Arial" w:cs="Arial"/>
            <w:sz w:val="15"/>
            <w:szCs w:val="13"/>
            <w:lang w:val="it"/>
          </w:rPr>
          <w:t>topconpositioning.com</w:t>
        </w:r>
      </w:hyperlink>
      <w:r>
        <w:rPr>
          <w:rFonts w:ascii="Arial" w:hAnsi="Arial" w:cs="Arial"/>
          <w:color w:val="808080" w:themeColor="background1" w:themeShade="80"/>
          <w:sz w:val="15"/>
          <w:szCs w:val="13"/>
          <w:lang w:val="it"/>
        </w:rPr>
        <w:t xml:space="preserve">). La sua sede centrale europea si trova a </w:t>
      </w:r>
      <w:proofErr w:type="spellStart"/>
      <w:r>
        <w:rPr>
          <w:rFonts w:ascii="Arial" w:hAnsi="Arial" w:cs="Arial"/>
          <w:color w:val="808080" w:themeColor="background1" w:themeShade="80"/>
          <w:sz w:val="15"/>
          <w:szCs w:val="13"/>
          <w:lang w:val="it"/>
        </w:rPr>
        <w:t>Capelle</w:t>
      </w:r>
      <w:proofErr w:type="spellEnd"/>
      <w:r>
        <w:rPr>
          <w:rFonts w:ascii="Arial" w:hAnsi="Arial" w:cs="Arial"/>
          <w:color w:val="808080" w:themeColor="background1" w:themeShade="80"/>
          <w:sz w:val="15"/>
          <w:szCs w:val="13"/>
          <w:lang w:val="it"/>
        </w:rPr>
        <w:t xml:space="preserve"> a/d </w:t>
      </w:r>
      <w:proofErr w:type="spellStart"/>
      <w:r>
        <w:rPr>
          <w:rFonts w:ascii="Arial" w:hAnsi="Arial" w:cs="Arial"/>
          <w:color w:val="808080" w:themeColor="background1" w:themeShade="80"/>
          <w:sz w:val="15"/>
          <w:szCs w:val="13"/>
          <w:lang w:val="it"/>
        </w:rPr>
        <w:t>IJssel</w:t>
      </w:r>
      <w:proofErr w:type="spellEnd"/>
      <w:r>
        <w:rPr>
          <w:rFonts w:ascii="Arial" w:hAnsi="Arial" w:cs="Arial"/>
          <w:color w:val="808080" w:themeColor="background1" w:themeShade="80"/>
          <w:sz w:val="15"/>
          <w:szCs w:val="13"/>
          <w:lang w:val="it"/>
        </w:rPr>
        <w:t xml:space="preserve">, Paesi Bassi. Il gruppo Topcon Positioning progetta, produce e commercializza soluzioni di precisione per la misurazione e i flussi di lavoro desinati ai mercati globali dell’edilizia, dei sistemi </w:t>
      </w:r>
      <w:proofErr w:type="spellStart"/>
      <w:r>
        <w:rPr>
          <w:rFonts w:ascii="Arial" w:hAnsi="Arial" w:cs="Arial"/>
          <w:color w:val="808080" w:themeColor="background1" w:themeShade="80"/>
          <w:sz w:val="15"/>
          <w:szCs w:val="13"/>
          <w:lang w:val="it"/>
        </w:rPr>
        <w:t>geospaziali</w:t>
      </w:r>
      <w:proofErr w:type="spellEnd"/>
      <w:r>
        <w:rPr>
          <w:rFonts w:ascii="Arial" w:hAnsi="Arial" w:cs="Arial"/>
          <w:color w:val="808080" w:themeColor="background1" w:themeShade="80"/>
          <w:sz w:val="15"/>
          <w:szCs w:val="13"/>
          <w:lang w:val="it"/>
        </w:rPr>
        <w:t xml:space="preserve"> e dell’agricoltura. Fra i suoi marchi, si annoverano: Topcon, Sokkia, </w:t>
      </w:r>
      <w:proofErr w:type="spellStart"/>
      <w:r>
        <w:rPr>
          <w:rFonts w:ascii="Arial" w:hAnsi="Arial" w:cs="Arial"/>
          <w:color w:val="808080" w:themeColor="background1" w:themeShade="80"/>
          <w:sz w:val="15"/>
          <w:szCs w:val="13"/>
          <w:lang w:val="it"/>
        </w:rPr>
        <w:t>Tierra</w:t>
      </w:r>
      <w:proofErr w:type="spellEnd"/>
      <w:r>
        <w:rPr>
          <w:rFonts w:ascii="Arial" w:hAnsi="Arial" w:cs="Arial"/>
          <w:color w:val="808080" w:themeColor="background1" w:themeShade="80"/>
          <w:sz w:val="15"/>
          <w:szCs w:val="13"/>
          <w:lang w:val="it"/>
        </w:rPr>
        <w:t>, Digi-Star, RDS Technology e NORAC. Topcon Corporation (</w:t>
      </w:r>
      <w:hyperlink r:id="rId10" w:history="1">
        <w:r>
          <w:rPr>
            <w:rStyle w:val="Collegamentoipertestuale"/>
            <w:rFonts w:ascii="Arial" w:hAnsi="Arial" w:cs="Arial"/>
            <w:sz w:val="15"/>
            <w:szCs w:val="13"/>
            <w:lang w:val="it"/>
          </w:rPr>
          <w:t>topcon.com</w:t>
        </w:r>
      </w:hyperlink>
      <w:r>
        <w:rPr>
          <w:rFonts w:ascii="Arial" w:hAnsi="Arial" w:cs="Arial"/>
          <w:color w:val="808080" w:themeColor="background1" w:themeShade="80"/>
          <w:sz w:val="15"/>
          <w:szCs w:val="13"/>
          <w:lang w:val="it"/>
        </w:rPr>
        <w:t>), fondata nel 1932, è quotata alla Borsa di Tokyo (7732). </w:t>
      </w:r>
    </w:p>
    <w:p w14:paraId="1DE95BA6" w14:textId="77777777" w:rsidR="00932BDE" w:rsidRPr="0069644C" w:rsidRDefault="00932BDE" w:rsidP="00932BDE">
      <w:pPr>
        <w:rPr>
          <w:rFonts w:ascii="Arial" w:hAnsi="Arial" w:cs="Arial"/>
          <w:color w:val="808080" w:themeColor="background1" w:themeShade="80"/>
          <w:sz w:val="15"/>
          <w:szCs w:val="13"/>
          <w:lang w:val="it-IT"/>
        </w:rPr>
      </w:pPr>
    </w:p>
    <w:p w14:paraId="1C6DA5A1" w14:textId="1B980884" w:rsidR="00932BDE" w:rsidRPr="0069644C" w:rsidRDefault="00B1777C" w:rsidP="00932BDE">
      <w:pPr>
        <w:rPr>
          <w:rFonts w:ascii="Arial" w:hAnsi="Arial" w:cs="Arial"/>
          <w:b/>
          <w:color w:val="808080" w:themeColor="background1" w:themeShade="80"/>
          <w:sz w:val="15"/>
          <w:szCs w:val="13"/>
          <w:lang w:val="it-IT"/>
        </w:rPr>
      </w:pPr>
      <w:r>
        <w:rPr>
          <w:rFonts w:ascii="Arial" w:hAnsi="Arial" w:cs="Arial"/>
          <w:b/>
          <w:bCs/>
          <w:color w:val="808080" w:themeColor="background1" w:themeShade="80"/>
          <w:sz w:val="15"/>
          <w:szCs w:val="13"/>
          <w:lang w:val="it"/>
        </w:rPr>
        <w:t>Informazioni su</w:t>
      </w:r>
      <w:bookmarkStart w:id="0" w:name="_GoBack"/>
      <w:bookmarkEnd w:id="0"/>
      <w:r w:rsidR="00932BDE">
        <w:rPr>
          <w:rFonts w:ascii="Arial" w:hAnsi="Arial" w:cs="Arial"/>
          <w:b/>
          <w:bCs/>
          <w:color w:val="808080" w:themeColor="background1" w:themeShade="80"/>
          <w:sz w:val="15"/>
          <w:szCs w:val="13"/>
          <w:lang w:val="it"/>
        </w:rPr>
        <w:t xml:space="preserve"> Bentley Systems</w:t>
      </w:r>
    </w:p>
    <w:p w14:paraId="3577DF6A" w14:textId="77777777" w:rsidR="00932BDE" w:rsidRPr="0069644C" w:rsidRDefault="00932BDE" w:rsidP="00932BDE">
      <w:pPr>
        <w:rPr>
          <w:rFonts w:ascii="Arial" w:hAnsi="Arial" w:cs="Arial"/>
          <w:color w:val="808080" w:themeColor="background1" w:themeShade="80"/>
          <w:sz w:val="15"/>
          <w:szCs w:val="13"/>
          <w:lang w:val="it-IT"/>
        </w:rPr>
      </w:pPr>
      <w:r>
        <w:rPr>
          <w:rFonts w:ascii="Arial" w:hAnsi="Arial" w:cs="Arial"/>
          <w:color w:val="808080" w:themeColor="background1" w:themeShade="80"/>
          <w:sz w:val="15"/>
          <w:szCs w:val="13"/>
          <w:lang w:val="it"/>
        </w:rPr>
        <w:t xml:space="preserve">Bentley Systems è leader globale nella fornitura di soluzioni software complete volte al progresso nella progettazione, nella costruzione e nella gestione delle infrastrutture, destinate ai progettisti, agli architetti, ai professionisti del settore geospaziale, ai costruttori e ai titolari-gestori dei sistemi. Le utenze di Bentley favoriscono la mobilità delle informazioni mediante apposite discipline e attraverso il ciclo di vita dell’infrastruttura, al fine di ottenere progetti e prodotti più performanti. Le soluzioni Bentley comprendono le applicazioni </w:t>
      </w:r>
      <w:proofErr w:type="spellStart"/>
      <w:r>
        <w:rPr>
          <w:rFonts w:ascii="Arial" w:hAnsi="Arial" w:cs="Arial"/>
          <w:i/>
          <w:iCs/>
          <w:color w:val="808080" w:themeColor="background1" w:themeShade="80"/>
          <w:sz w:val="15"/>
          <w:szCs w:val="13"/>
          <w:lang w:val="it"/>
        </w:rPr>
        <w:t>MicroStation</w:t>
      </w:r>
      <w:proofErr w:type="spellEnd"/>
      <w:r>
        <w:rPr>
          <w:rFonts w:ascii="Arial" w:hAnsi="Arial" w:cs="Arial"/>
          <w:color w:val="808080" w:themeColor="background1" w:themeShade="80"/>
          <w:sz w:val="15"/>
          <w:szCs w:val="13"/>
          <w:lang w:val="it"/>
        </w:rPr>
        <w:t xml:space="preserve"> per i servizi di modellazione informatica contestuali alla collaborazione </w:t>
      </w:r>
      <w:proofErr w:type="spellStart"/>
      <w:proofErr w:type="gramStart"/>
      <w:r>
        <w:rPr>
          <w:rFonts w:ascii="Arial" w:hAnsi="Arial" w:cs="Arial"/>
          <w:i/>
          <w:iCs/>
          <w:color w:val="808080" w:themeColor="background1" w:themeShade="80"/>
          <w:sz w:val="15"/>
          <w:szCs w:val="13"/>
          <w:lang w:val="it"/>
        </w:rPr>
        <w:t>ProjectWise</w:t>
      </w:r>
      <w:proofErr w:type="spellEnd"/>
      <w:r>
        <w:rPr>
          <w:rFonts w:ascii="Arial" w:hAnsi="Arial" w:cs="Arial"/>
          <w:color w:val="808080" w:themeColor="background1" w:themeShade="80"/>
          <w:sz w:val="15"/>
          <w:szCs w:val="13"/>
          <w:lang w:val="it"/>
        </w:rPr>
        <w:t xml:space="preserve"> ,</w:t>
      </w:r>
      <w:proofErr w:type="gramEnd"/>
      <w:r>
        <w:rPr>
          <w:rFonts w:ascii="Arial" w:hAnsi="Arial" w:cs="Arial"/>
          <w:color w:val="808080" w:themeColor="background1" w:themeShade="80"/>
          <w:sz w:val="15"/>
          <w:szCs w:val="13"/>
          <w:lang w:val="it"/>
        </w:rPr>
        <w:t xml:space="preserve"> al fine di offrire progetti integrati e operazioni </w:t>
      </w:r>
      <w:proofErr w:type="spellStart"/>
      <w:r>
        <w:rPr>
          <w:rFonts w:ascii="Arial" w:hAnsi="Arial" w:cs="Arial"/>
          <w:i/>
          <w:iCs/>
          <w:color w:val="808080" w:themeColor="background1" w:themeShade="80"/>
          <w:sz w:val="15"/>
          <w:szCs w:val="13"/>
          <w:lang w:val="it"/>
        </w:rPr>
        <w:t>AssetWise</w:t>
      </w:r>
      <w:proofErr w:type="spellEnd"/>
      <w:r>
        <w:rPr>
          <w:rFonts w:ascii="Arial" w:hAnsi="Arial" w:cs="Arial"/>
          <w:color w:val="808080" w:themeColor="background1" w:themeShade="80"/>
          <w:sz w:val="15"/>
          <w:szCs w:val="13"/>
          <w:lang w:val="it"/>
        </w:rPr>
        <w:t xml:space="preserve"> che consentano di ottenere un infrastruttura intelligente: il tutto completato da servizi gestiti complessivamente, forniti mediante programmi personalizzati per il buon esito dei lavori. </w:t>
      </w:r>
    </w:p>
    <w:p w14:paraId="52C2BBC0" w14:textId="77777777" w:rsidR="00932BDE" w:rsidRPr="0069644C" w:rsidRDefault="00932BDE" w:rsidP="00932BDE">
      <w:pPr>
        <w:rPr>
          <w:rFonts w:ascii="Arial" w:hAnsi="Arial" w:cs="Arial"/>
          <w:color w:val="808080" w:themeColor="background1" w:themeShade="80"/>
          <w:sz w:val="15"/>
          <w:szCs w:val="13"/>
          <w:lang w:val="it-IT"/>
        </w:rPr>
      </w:pPr>
    </w:p>
    <w:p w14:paraId="13A99137" w14:textId="77777777" w:rsidR="00932BDE" w:rsidRPr="0069644C" w:rsidRDefault="00932BDE" w:rsidP="00932BDE">
      <w:pPr>
        <w:rPr>
          <w:rFonts w:ascii="Arial" w:hAnsi="Arial" w:cs="Arial"/>
          <w:color w:val="808080" w:themeColor="background1" w:themeShade="80"/>
          <w:sz w:val="15"/>
          <w:szCs w:val="13"/>
          <w:lang w:val="it-IT"/>
        </w:rPr>
      </w:pPr>
      <w:r>
        <w:rPr>
          <w:rFonts w:ascii="Arial" w:hAnsi="Arial" w:cs="Arial"/>
          <w:color w:val="808080" w:themeColor="background1" w:themeShade="80"/>
          <w:sz w:val="15"/>
          <w:szCs w:val="13"/>
          <w:lang w:val="it"/>
        </w:rPr>
        <w:t xml:space="preserve">Fondata nel 1984, Bentley si avvale di 3.000 collaboratori in oltre 5o paesi, registra entrate annuali superiori a 600 milioni di dollari e, dal 2011, ha investito oltre 1 miliardo di dollari nella ricerca, nello sviluppo e nelle acquisizioni. </w:t>
      </w:r>
    </w:p>
    <w:p w14:paraId="6B34A400" w14:textId="77777777" w:rsidR="00932BDE" w:rsidRPr="0069644C" w:rsidRDefault="00932BDE" w:rsidP="00932BDE">
      <w:pPr>
        <w:rPr>
          <w:rFonts w:ascii="Arial" w:hAnsi="Arial" w:cs="Arial"/>
          <w:color w:val="808080" w:themeColor="background1" w:themeShade="80"/>
          <w:sz w:val="15"/>
          <w:szCs w:val="13"/>
          <w:lang w:val="it-IT"/>
        </w:rPr>
      </w:pPr>
    </w:p>
    <w:p w14:paraId="5D84769B" w14:textId="77777777" w:rsidR="00932BDE" w:rsidRPr="0069644C" w:rsidRDefault="00932BDE" w:rsidP="00932BDE">
      <w:pPr>
        <w:rPr>
          <w:rFonts w:ascii="Arial" w:hAnsi="Arial" w:cs="Arial"/>
          <w:iCs/>
          <w:color w:val="808080" w:themeColor="background1" w:themeShade="80"/>
          <w:sz w:val="15"/>
          <w:szCs w:val="13"/>
          <w:lang w:val="it-IT"/>
        </w:rPr>
      </w:pPr>
      <w:r>
        <w:rPr>
          <w:rFonts w:ascii="Arial" w:hAnsi="Arial" w:cs="Arial"/>
          <w:color w:val="808080" w:themeColor="background1" w:themeShade="80"/>
          <w:sz w:val="15"/>
          <w:szCs w:val="13"/>
          <w:lang w:val="it"/>
        </w:rPr>
        <w:t xml:space="preserve">Per ulteriori informazioni su Bentley, vedere </w:t>
      </w:r>
      <w:hyperlink r:id="rId11" w:history="1">
        <w:r>
          <w:rPr>
            <w:rStyle w:val="Collegamentoipertestuale"/>
            <w:rFonts w:ascii="Arial" w:hAnsi="Arial" w:cs="Arial"/>
            <w:sz w:val="15"/>
            <w:szCs w:val="13"/>
            <w:lang w:val="it"/>
          </w:rPr>
          <w:t>www.bentley.com</w:t>
        </w:r>
      </w:hyperlink>
      <w:r>
        <w:rPr>
          <w:rFonts w:ascii="Arial" w:hAnsi="Arial" w:cs="Arial"/>
          <w:color w:val="808080" w:themeColor="background1" w:themeShade="80"/>
          <w:sz w:val="15"/>
          <w:szCs w:val="13"/>
          <w:lang w:val="it"/>
        </w:rPr>
        <w:t xml:space="preserve">. Per ricevere le news Bentley appena disponibili, basta iscriversi a un </w:t>
      </w:r>
      <w:hyperlink r:id="rId12" w:history="1">
        <w:r>
          <w:rPr>
            <w:rStyle w:val="Collegamentoipertestuale"/>
            <w:rFonts w:ascii="Arial" w:hAnsi="Arial" w:cs="Arial"/>
            <w:sz w:val="15"/>
            <w:szCs w:val="13"/>
            <w:lang w:val="it"/>
          </w:rPr>
          <w:t>RSS feed</w:t>
        </w:r>
      </w:hyperlink>
      <w:r>
        <w:rPr>
          <w:rFonts w:ascii="Arial" w:hAnsi="Arial" w:cs="Arial"/>
          <w:color w:val="808080" w:themeColor="background1" w:themeShade="80"/>
          <w:sz w:val="15"/>
          <w:szCs w:val="13"/>
          <w:lang w:val="it"/>
        </w:rPr>
        <w:t xml:space="preserve"> di comunicati stampa e notifiche delle news di Bentley. Visitare il sito </w:t>
      </w:r>
      <w:hyperlink r:id="rId13" w:history="1">
        <w:r>
          <w:rPr>
            <w:rStyle w:val="Collegamentoipertestuale"/>
            <w:rFonts w:ascii="Arial" w:hAnsi="Arial" w:cs="Arial"/>
            <w:sz w:val="15"/>
            <w:szCs w:val="13"/>
            <w:lang w:val="it"/>
          </w:rPr>
          <w:t xml:space="preserve">The </w:t>
        </w:r>
        <w:proofErr w:type="spellStart"/>
        <w:r>
          <w:rPr>
            <w:rStyle w:val="Collegamentoipertestuale"/>
            <w:rFonts w:ascii="Arial" w:hAnsi="Arial" w:cs="Arial"/>
            <w:i/>
            <w:iCs/>
            <w:sz w:val="15"/>
            <w:szCs w:val="13"/>
            <w:lang w:val="it"/>
          </w:rPr>
          <w:t>Year</w:t>
        </w:r>
        <w:proofErr w:type="spellEnd"/>
        <w:r>
          <w:rPr>
            <w:rStyle w:val="Collegamentoipertestuale"/>
            <w:rFonts w:ascii="Arial" w:hAnsi="Arial" w:cs="Arial"/>
            <w:i/>
            <w:iCs/>
            <w:sz w:val="15"/>
            <w:szCs w:val="13"/>
            <w:lang w:val="it"/>
          </w:rPr>
          <w:t xml:space="preserve"> in </w:t>
        </w:r>
        <w:proofErr w:type="spellStart"/>
        <w:r>
          <w:rPr>
            <w:rStyle w:val="Collegamentoipertestuale"/>
            <w:rFonts w:ascii="Arial" w:hAnsi="Arial" w:cs="Arial"/>
            <w:i/>
            <w:iCs/>
            <w:sz w:val="15"/>
            <w:szCs w:val="13"/>
            <w:lang w:val="it"/>
          </w:rPr>
          <w:t>Infrastructure</w:t>
        </w:r>
        <w:proofErr w:type="spellEnd"/>
        <w:r>
          <w:rPr>
            <w:rStyle w:val="Collegamentoipertestuale"/>
            <w:rFonts w:ascii="Arial" w:hAnsi="Arial" w:cs="Arial"/>
            <w:sz w:val="15"/>
            <w:szCs w:val="13"/>
            <w:lang w:val="it"/>
          </w:rPr>
          <w:t xml:space="preserve"> Conference</w:t>
        </w:r>
      </w:hyperlink>
      <w:r>
        <w:rPr>
          <w:rFonts w:ascii="Arial" w:hAnsi="Arial" w:cs="Arial"/>
          <w:color w:val="808080" w:themeColor="background1" w:themeShade="80"/>
          <w:sz w:val="15"/>
          <w:szCs w:val="13"/>
          <w:lang w:val="it"/>
        </w:rPr>
        <w:t xml:space="preserve"> per informazioni sul grande evento Bentley dedicato alla </w:t>
      </w:r>
      <w:proofErr w:type="spellStart"/>
      <w:r>
        <w:rPr>
          <w:rFonts w:ascii="Arial" w:hAnsi="Arial" w:cs="Arial"/>
          <w:i/>
          <w:iCs/>
          <w:color w:val="808080" w:themeColor="background1" w:themeShade="80"/>
          <w:sz w:val="15"/>
          <w:szCs w:val="13"/>
          <w:lang w:val="it"/>
        </w:rPr>
        <w:t>thought</w:t>
      </w:r>
      <w:proofErr w:type="spellEnd"/>
      <w:r>
        <w:rPr>
          <w:rFonts w:ascii="Arial" w:hAnsi="Arial" w:cs="Arial"/>
          <w:i/>
          <w:iCs/>
          <w:color w:val="808080" w:themeColor="background1" w:themeShade="80"/>
          <w:sz w:val="15"/>
          <w:szCs w:val="13"/>
          <w:lang w:val="it"/>
        </w:rPr>
        <w:t>-leadership</w:t>
      </w:r>
      <w:r>
        <w:rPr>
          <w:rFonts w:ascii="Arial" w:hAnsi="Arial" w:cs="Arial"/>
          <w:color w:val="808080" w:themeColor="background1" w:themeShade="80"/>
          <w:sz w:val="15"/>
          <w:szCs w:val="13"/>
          <w:lang w:val="it"/>
        </w:rPr>
        <w:t xml:space="preserve">. Per vedere una collezione consultabile di progetti infrastrutturali innovativi tratti dal premio annuale </w:t>
      </w:r>
      <w:r>
        <w:rPr>
          <w:rFonts w:ascii="Arial" w:hAnsi="Arial" w:cs="Arial"/>
          <w:i/>
          <w:iCs/>
          <w:color w:val="808080" w:themeColor="background1" w:themeShade="80"/>
          <w:sz w:val="15"/>
          <w:szCs w:val="13"/>
          <w:lang w:val="it"/>
        </w:rPr>
        <w:t xml:space="preserve">Be </w:t>
      </w:r>
      <w:proofErr w:type="spellStart"/>
      <w:r>
        <w:rPr>
          <w:rFonts w:ascii="Arial" w:hAnsi="Arial" w:cs="Arial"/>
          <w:i/>
          <w:iCs/>
          <w:color w:val="808080" w:themeColor="background1" w:themeShade="80"/>
          <w:sz w:val="15"/>
          <w:szCs w:val="13"/>
          <w:lang w:val="it"/>
        </w:rPr>
        <w:t>Inspired</w:t>
      </w:r>
      <w:proofErr w:type="spellEnd"/>
      <w:r>
        <w:rPr>
          <w:rFonts w:ascii="Arial" w:hAnsi="Arial" w:cs="Arial"/>
          <w:color w:val="808080" w:themeColor="background1" w:themeShade="80"/>
          <w:sz w:val="15"/>
          <w:szCs w:val="13"/>
          <w:lang w:val="it"/>
        </w:rPr>
        <w:t xml:space="preserve">, accedere all’area Bentley </w:t>
      </w:r>
      <w:hyperlink r:id="rId14" w:history="1">
        <w:proofErr w:type="spellStart"/>
        <w:r>
          <w:rPr>
            <w:rStyle w:val="Collegamentoipertestuale"/>
            <w:rFonts w:ascii="Arial" w:hAnsi="Arial" w:cs="Arial"/>
            <w:i/>
            <w:iCs/>
            <w:sz w:val="15"/>
            <w:szCs w:val="13"/>
            <w:lang w:val="it"/>
          </w:rPr>
          <w:t>Infrastructure</w:t>
        </w:r>
        <w:proofErr w:type="spellEnd"/>
        <w:r>
          <w:rPr>
            <w:rStyle w:val="Collegamentoipertestuale"/>
            <w:rFonts w:ascii="Arial" w:hAnsi="Arial" w:cs="Arial"/>
            <w:i/>
            <w:iCs/>
            <w:sz w:val="15"/>
            <w:szCs w:val="13"/>
            <w:lang w:val="it"/>
          </w:rPr>
          <w:t xml:space="preserve"> </w:t>
        </w:r>
        <w:proofErr w:type="spellStart"/>
        <w:r>
          <w:rPr>
            <w:rStyle w:val="Collegamentoipertestuale"/>
            <w:rFonts w:ascii="Arial" w:hAnsi="Arial" w:cs="Arial"/>
            <w:i/>
            <w:iCs/>
            <w:sz w:val="15"/>
            <w:szCs w:val="13"/>
            <w:lang w:val="it"/>
          </w:rPr>
          <w:t>Yearbooks</w:t>
        </w:r>
        <w:proofErr w:type="spellEnd"/>
      </w:hyperlink>
      <w:r>
        <w:rPr>
          <w:rFonts w:ascii="Arial" w:hAnsi="Arial" w:cs="Arial"/>
          <w:color w:val="808080" w:themeColor="background1" w:themeShade="80"/>
          <w:sz w:val="15"/>
          <w:szCs w:val="13"/>
          <w:lang w:val="it"/>
        </w:rPr>
        <w:t xml:space="preserve">. Per accedere al sito di una rete professionale che consenta i membri della community infrastrutturale di connettersi, comunicare e imparare vicendevolmente, visitare </w:t>
      </w:r>
      <w:hyperlink r:id="rId15" w:history="1">
        <w:r>
          <w:rPr>
            <w:rStyle w:val="Collegamentoipertestuale"/>
            <w:rFonts w:ascii="Arial" w:hAnsi="Arial" w:cs="Arial"/>
            <w:sz w:val="15"/>
            <w:szCs w:val="13"/>
            <w:lang w:val="it"/>
          </w:rPr>
          <w:t xml:space="preserve">Bentley </w:t>
        </w:r>
        <w:proofErr w:type="spellStart"/>
        <w:r>
          <w:rPr>
            <w:rStyle w:val="Collegamentoipertestuale"/>
            <w:rFonts w:ascii="Arial" w:hAnsi="Arial" w:cs="Arial"/>
            <w:sz w:val="15"/>
            <w:szCs w:val="13"/>
            <w:lang w:val="it"/>
          </w:rPr>
          <w:t>Communities</w:t>
        </w:r>
        <w:proofErr w:type="spellEnd"/>
      </w:hyperlink>
      <w:r>
        <w:rPr>
          <w:rFonts w:ascii="Arial" w:hAnsi="Arial" w:cs="Arial"/>
          <w:color w:val="808080" w:themeColor="background1" w:themeShade="80"/>
          <w:sz w:val="15"/>
          <w:szCs w:val="13"/>
          <w:lang w:val="it"/>
        </w:rPr>
        <w:t>.</w:t>
      </w:r>
    </w:p>
    <w:p w14:paraId="3DC6F3A6" w14:textId="77777777" w:rsidR="00932BDE" w:rsidRPr="0069644C" w:rsidRDefault="00932BDE" w:rsidP="00932BDE">
      <w:pPr>
        <w:rPr>
          <w:rFonts w:ascii="Arial" w:hAnsi="Arial" w:cs="Arial"/>
          <w:color w:val="808080" w:themeColor="background1" w:themeShade="80"/>
          <w:sz w:val="15"/>
          <w:szCs w:val="13"/>
          <w:lang w:val="it-IT"/>
        </w:rPr>
      </w:pPr>
    </w:p>
    <w:p w14:paraId="147DEAE5" w14:textId="77777777" w:rsidR="00932BDE" w:rsidRPr="0069644C" w:rsidRDefault="00932BDE" w:rsidP="00932BDE">
      <w:pPr>
        <w:rPr>
          <w:rFonts w:ascii="Arial" w:hAnsi="Arial" w:cs="Arial"/>
          <w:color w:val="808080" w:themeColor="background1" w:themeShade="80"/>
          <w:sz w:val="15"/>
          <w:szCs w:val="13"/>
          <w:lang w:val="it-IT"/>
        </w:rPr>
      </w:pPr>
      <w:r>
        <w:rPr>
          <w:rFonts w:ascii="Arial" w:hAnsi="Arial" w:cs="Arial"/>
          <w:color w:val="808080" w:themeColor="background1" w:themeShade="80"/>
          <w:sz w:val="15"/>
          <w:szCs w:val="13"/>
          <w:lang w:val="it"/>
        </w:rPr>
        <w:t xml:space="preserve">Per scaricare la classifica dei 500 Top </w:t>
      </w:r>
      <w:proofErr w:type="spellStart"/>
      <w:r>
        <w:rPr>
          <w:rFonts w:ascii="Arial" w:hAnsi="Arial" w:cs="Arial"/>
          <w:color w:val="808080" w:themeColor="background1" w:themeShade="80"/>
          <w:sz w:val="15"/>
          <w:szCs w:val="13"/>
          <w:lang w:val="it"/>
        </w:rPr>
        <w:t>Owner</w:t>
      </w:r>
      <w:proofErr w:type="spellEnd"/>
      <w:r>
        <w:rPr>
          <w:rFonts w:ascii="Arial" w:hAnsi="Arial" w:cs="Arial"/>
          <w:color w:val="808080" w:themeColor="background1" w:themeShade="80"/>
          <w:sz w:val="15"/>
          <w:szCs w:val="13"/>
          <w:lang w:val="it"/>
        </w:rPr>
        <w:t xml:space="preserve"> </w:t>
      </w:r>
      <w:r>
        <w:rPr>
          <w:rFonts w:ascii="Arial" w:hAnsi="Arial" w:cs="Arial"/>
          <w:i/>
          <w:iCs/>
          <w:color w:val="808080" w:themeColor="background1" w:themeShade="80"/>
          <w:sz w:val="15"/>
          <w:szCs w:val="13"/>
          <w:lang w:val="it"/>
        </w:rPr>
        <w:t xml:space="preserve">Bentley </w:t>
      </w:r>
      <w:proofErr w:type="spellStart"/>
      <w:r>
        <w:rPr>
          <w:rFonts w:ascii="Arial" w:hAnsi="Arial" w:cs="Arial"/>
          <w:i/>
          <w:iCs/>
          <w:color w:val="808080" w:themeColor="background1" w:themeShade="80"/>
          <w:sz w:val="15"/>
          <w:szCs w:val="13"/>
          <w:lang w:val="it"/>
        </w:rPr>
        <w:t>Infrastructure</w:t>
      </w:r>
      <w:proofErr w:type="spellEnd"/>
      <w:r>
        <w:rPr>
          <w:rFonts w:ascii="Arial" w:hAnsi="Arial" w:cs="Arial"/>
          <w:i/>
          <w:iCs/>
          <w:color w:val="808080" w:themeColor="background1" w:themeShade="80"/>
          <w:sz w:val="15"/>
          <w:szCs w:val="13"/>
          <w:lang w:val="it"/>
        </w:rPr>
        <w:t xml:space="preserve">, </w:t>
      </w:r>
      <w:r>
        <w:rPr>
          <w:rFonts w:ascii="Arial" w:hAnsi="Arial" w:cs="Arial"/>
          <w:color w:val="808080" w:themeColor="background1" w:themeShade="80"/>
          <w:sz w:val="15"/>
          <w:szCs w:val="13"/>
          <w:lang w:val="it"/>
        </w:rPr>
        <w:t xml:space="preserve">un compendio unico e globale dei più importanti titolari di infrastrutture nel settore sia pubblico sia privato, basato sul valore dei rispettivi investimenti cumulativi in ambito infrastrutturale, visitare </w:t>
      </w:r>
      <w:hyperlink r:id="rId16" w:history="1">
        <w:r>
          <w:rPr>
            <w:rStyle w:val="Collegamentoipertestuale"/>
            <w:rFonts w:ascii="Arial" w:hAnsi="Arial" w:cs="Arial"/>
            <w:sz w:val="15"/>
            <w:szCs w:val="13"/>
            <w:lang w:val="it"/>
          </w:rPr>
          <w:t>BI 500</w:t>
        </w:r>
      </w:hyperlink>
      <w:r>
        <w:rPr>
          <w:rFonts w:ascii="Arial" w:hAnsi="Arial" w:cs="Arial"/>
          <w:color w:val="808080" w:themeColor="background1" w:themeShade="80"/>
          <w:sz w:val="15"/>
          <w:szCs w:val="13"/>
          <w:lang w:val="it"/>
        </w:rPr>
        <w:t>.</w:t>
      </w:r>
    </w:p>
    <w:p w14:paraId="3DA90086" w14:textId="77777777" w:rsidR="00932BDE" w:rsidRPr="0069644C" w:rsidRDefault="00932BDE" w:rsidP="00932BDE">
      <w:pPr>
        <w:rPr>
          <w:rFonts w:ascii="Arial" w:hAnsi="Arial" w:cs="Arial"/>
          <w:color w:val="808080" w:themeColor="background1" w:themeShade="80"/>
          <w:sz w:val="15"/>
          <w:szCs w:val="13"/>
          <w:lang w:val="it-IT"/>
        </w:rPr>
      </w:pPr>
    </w:p>
    <w:p w14:paraId="1785EA67" w14:textId="77777777" w:rsidR="00790F45" w:rsidRPr="0069644C" w:rsidRDefault="00F61E29" w:rsidP="00F61E29">
      <w:pPr>
        <w:jc w:val="center"/>
        <w:rPr>
          <w:rFonts w:ascii="Arial" w:hAnsi="Arial" w:cs="Arial"/>
          <w:color w:val="808080" w:themeColor="background1" w:themeShade="80"/>
          <w:sz w:val="15"/>
          <w:szCs w:val="13"/>
          <w:lang w:val="it-IT"/>
        </w:rPr>
      </w:pPr>
      <w:r>
        <w:rPr>
          <w:rFonts w:ascii="Arial" w:hAnsi="Arial" w:cs="Arial"/>
          <w:color w:val="808080" w:themeColor="background1" w:themeShade="80"/>
          <w:sz w:val="15"/>
          <w:szCs w:val="13"/>
          <w:lang w:val="it"/>
        </w:rPr>
        <w:t># # #</w:t>
      </w:r>
    </w:p>
    <w:p w14:paraId="4A2A7050" w14:textId="44F78C00" w:rsidR="00501DE9" w:rsidRPr="0069644C" w:rsidRDefault="00501DE9" w:rsidP="00501DE9">
      <w:pPr>
        <w:rPr>
          <w:rFonts w:ascii="Arial" w:hAnsi="Arial" w:cs="Arial"/>
          <w:color w:val="808080" w:themeColor="background1" w:themeShade="80"/>
          <w:sz w:val="15"/>
          <w:szCs w:val="13"/>
          <w:lang w:val="it-IT"/>
        </w:rPr>
      </w:pPr>
      <w:r>
        <w:rPr>
          <w:rFonts w:ascii="Arial" w:hAnsi="Arial" w:cs="Arial"/>
          <w:i/>
          <w:iCs/>
          <w:color w:val="808080" w:themeColor="background1" w:themeShade="80"/>
          <w:sz w:val="15"/>
          <w:szCs w:val="13"/>
          <w:lang w:val="it"/>
        </w:rPr>
        <w:lastRenderedPageBreak/>
        <w:t xml:space="preserve">Bentley, il logo di Bentley “B”, </w:t>
      </w:r>
      <w:proofErr w:type="spellStart"/>
      <w:r>
        <w:rPr>
          <w:rFonts w:ascii="Arial" w:hAnsi="Arial" w:cs="Arial"/>
          <w:i/>
          <w:iCs/>
          <w:color w:val="808080" w:themeColor="background1" w:themeShade="80"/>
          <w:sz w:val="15"/>
          <w:szCs w:val="13"/>
          <w:lang w:val="it"/>
        </w:rPr>
        <w:t>AssetWise</w:t>
      </w:r>
      <w:proofErr w:type="spellEnd"/>
      <w:r>
        <w:rPr>
          <w:rFonts w:ascii="Arial" w:hAnsi="Arial" w:cs="Arial"/>
          <w:i/>
          <w:iCs/>
          <w:color w:val="808080" w:themeColor="background1" w:themeShade="80"/>
          <w:sz w:val="15"/>
          <w:szCs w:val="13"/>
          <w:lang w:val="it"/>
        </w:rPr>
        <w:t xml:space="preserve">, </w:t>
      </w:r>
      <w:proofErr w:type="spellStart"/>
      <w:r>
        <w:rPr>
          <w:rFonts w:ascii="Arial" w:hAnsi="Arial" w:cs="Arial"/>
          <w:i/>
          <w:iCs/>
          <w:color w:val="808080" w:themeColor="background1" w:themeShade="80"/>
          <w:sz w:val="15"/>
          <w:szCs w:val="13"/>
          <w:lang w:val="it"/>
        </w:rPr>
        <w:t>ContextCapture</w:t>
      </w:r>
      <w:proofErr w:type="spellEnd"/>
      <w:r>
        <w:rPr>
          <w:rFonts w:ascii="Arial" w:hAnsi="Arial" w:cs="Arial"/>
          <w:i/>
          <w:iCs/>
          <w:color w:val="808080" w:themeColor="background1" w:themeShade="80"/>
          <w:sz w:val="15"/>
          <w:szCs w:val="13"/>
          <w:lang w:val="it"/>
        </w:rPr>
        <w:t xml:space="preserve">, </w:t>
      </w:r>
      <w:proofErr w:type="spellStart"/>
      <w:r>
        <w:rPr>
          <w:rFonts w:ascii="Arial" w:hAnsi="Arial" w:cs="Arial"/>
          <w:i/>
          <w:iCs/>
          <w:color w:val="808080" w:themeColor="background1" w:themeShade="80"/>
          <w:sz w:val="15"/>
          <w:szCs w:val="13"/>
          <w:lang w:val="it"/>
        </w:rPr>
        <w:t>Microstation</w:t>
      </w:r>
      <w:proofErr w:type="spellEnd"/>
      <w:r>
        <w:rPr>
          <w:rFonts w:ascii="Arial" w:hAnsi="Arial" w:cs="Arial"/>
          <w:i/>
          <w:iCs/>
          <w:color w:val="808080" w:themeColor="background1" w:themeShade="80"/>
          <w:sz w:val="15"/>
          <w:szCs w:val="13"/>
          <w:lang w:val="it"/>
        </w:rPr>
        <w:t xml:space="preserve"> e </w:t>
      </w:r>
      <w:proofErr w:type="spellStart"/>
      <w:r>
        <w:rPr>
          <w:rFonts w:ascii="Arial" w:hAnsi="Arial" w:cs="Arial"/>
          <w:i/>
          <w:iCs/>
          <w:color w:val="808080" w:themeColor="background1" w:themeShade="80"/>
          <w:sz w:val="15"/>
          <w:szCs w:val="13"/>
          <w:lang w:val="it"/>
        </w:rPr>
        <w:t>ProjectWise</w:t>
      </w:r>
      <w:proofErr w:type="spellEnd"/>
      <w:r>
        <w:rPr>
          <w:rFonts w:ascii="Arial" w:hAnsi="Arial" w:cs="Arial"/>
          <w:i/>
          <w:iCs/>
          <w:color w:val="808080" w:themeColor="background1" w:themeShade="80"/>
          <w:sz w:val="15"/>
          <w:szCs w:val="13"/>
          <w:lang w:val="it"/>
        </w:rPr>
        <w:t xml:space="preserve"> sono marchi commerciali o marchi di ser</w:t>
      </w:r>
      <w:r w:rsidR="0069644C">
        <w:rPr>
          <w:rFonts w:ascii="Arial" w:hAnsi="Arial" w:cs="Arial"/>
          <w:i/>
          <w:iCs/>
          <w:color w:val="808080" w:themeColor="background1" w:themeShade="80"/>
          <w:sz w:val="15"/>
          <w:szCs w:val="13"/>
          <w:lang w:val="it"/>
        </w:rPr>
        <w:t>vizi registrati o non registrati</w:t>
      </w:r>
      <w:r>
        <w:rPr>
          <w:rFonts w:ascii="Arial" w:hAnsi="Arial" w:cs="Arial"/>
          <w:i/>
          <w:iCs/>
          <w:color w:val="808080" w:themeColor="background1" w:themeShade="80"/>
          <w:sz w:val="15"/>
          <w:szCs w:val="13"/>
          <w:lang w:val="it"/>
        </w:rPr>
        <w:t xml:space="preserve"> di Bentley Systems, </w:t>
      </w:r>
      <w:proofErr w:type="spellStart"/>
      <w:r>
        <w:rPr>
          <w:rFonts w:ascii="Arial" w:hAnsi="Arial" w:cs="Arial"/>
          <w:i/>
          <w:iCs/>
          <w:color w:val="808080" w:themeColor="background1" w:themeShade="80"/>
          <w:sz w:val="15"/>
          <w:szCs w:val="13"/>
          <w:lang w:val="it"/>
        </w:rPr>
        <w:t>Incorporated</w:t>
      </w:r>
      <w:proofErr w:type="spellEnd"/>
      <w:r>
        <w:rPr>
          <w:rFonts w:ascii="Arial" w:hAnsi="Arial" w:cs="Arial"/>
          <w:i/>
          <w:iCs/>
          <w:color w:val="808080" w:themeColor="background1" w:themeShade="80"/>
          <w:sz w:val="15"/>
          <w:szCs w:val="13"/>
          <w:lang w:val="it"/>
        </w:rPr>
        <w:t xml:space="preserve"> o di una delle relative società controllate interamente partecipate, direttamente o indirettamente. Tutti gli altri marchi e nomi di prodotti sono nomi commerciali dei relativi proprietari.</w:t>
      </w:r>
    </w:p>
    <w:p w14:paraId="65BBE534" w14:textId="77777777" w:rsidR="00501DE9" w:rsidRPr="0069644C" w:rsidRDefault="00501DE9" w:rsidP="00F61E29">
      <w:pPr>
        <w:jc w:val="center"/>
        <w:rPr>
          <w:rFonts w:ascii="Arial" w:hAnsi="Arial" w:cs="Arial"/>
          <w:color w:val="808080" w:themeColor="background1" w:themeShade="80"/>
          <w:sz w:val="15"/>
          <w:szCs w:val="13"/>
          <w:lang w:val="it-IT"/>
        </w:rPr>
      </w:pPr>
    </w:p>
    <w:p w14:paraId="077E1D1B" w14:textId="77777777" w:rsidR="00F61E29" w:rsidRPr="0069644C" w:rsidRDefault="00F61E29" w:rsidP="00F61E29">
      <w:pPr>
        <w:outlineLvl w:val="0"/>
        <w:rPr>
          <w:rFonts w:ascii="Arial" w:hAnsi="Arial" w:cs="Arial"/>
          <w:b/>
          <w:color w:val="808080" w:themeColor="background1" w:themeShade="80"/>
          <w:sz w:val="15"/>
          <w:szCs w:val="13"/>
          <w:lang w:val="it-IT"/>
        </w:rPr>
      </w:pPr>
      <w:r>
        <w:rPr>
          <w:rFonts w:ascii="Arial" w:hAnsi="Arial" w:cs="Arial"/>
          <w:b/>
          <w:bCs/>
          <w:color w:val="808080" w:themeColor="background1" w:themeShade="80"/>
          <w:sz w:val="15"/>
          <w:szCs w:val="13"/>
          <w:lang w:val="it"/>
        </w:rPr>
        <w:t xml:space="preserve">Contatti stampa: </w:t>
      </w:r>
    </w:p>
    <w:p w14:paraId="0C2F4451" w14:textId="77777777" w:rsidR="00AA0265" w:rsidRPr="0069644C" w:rsidRDefault="00AA0265" w:rsidP="00F61E29">
      <w:pPr>
        <w:outlineLvl w:val="0"/>
        <w:rPr>
          <w:rFonts w:ascii="Arial" w:hAnsi="Arial" w:cs="Arial"/>
          <w:b/>
          <w:color w:val="808080" w:themeColor="background1" w:themeShade="80"/>
          <w:sz w:val="8"/>
          <w:szCs w:val="13"/>
          <w:lang w:val="it-IT"/>
        </w:rPr>
      </w:pPr>
    </w:p>
    <w:p w14:paraId="0C5C910D" w14:textId="77777777" w:rsidR="00F61E29" w:rsidRPr="0069644C" w:rsidRDefault="00F61E29" w:rsidP="00F61E29">
      <w:pPr>
        <w:outlineLvl w:val="0"/>
        <w:rPr>
          <w:rFonts w:ascii="Arial" w:hAnsi="Arial" w:cs="Arial"/>
          <w:b/>
          <w:bCs/>
          <w:color w:val="808080" w:themeColor="background1" w:themeShade="80"/>
          <w:sz w:val="15"/>
          <w:szCs w:val="13"/>
          <w:lang w:val="it-IT"/>
        </w:rPr>
      </w:pPr>
      <w:r>
        <w:rPr>
          <w:rFonts w:ascii="Arial" w:hAnsi="Arial" w:cs="Arial"/>
          <w:b/>
          <w:bCs/>
          <w:color w:val="808080" w:themeColor="background1" w:themeShade="80"/>
          <w:sz w:val="15"/>
          <w:szCs w:val="13"/>
          <w:lang w:val="it"/>
        </w:rPr>
        <w:t>Gruppo Topcon Positioning</w:t>
      </w:r>
    </w:p>
    <w:p w14:paraId="563546FC" w14:textId="77777777" w:rsidR="00F61E29" w:rsidRPr="0069644C" w:rsidRDefault="004F5555" w:rsidP="00F61E29">
      <w:pPr>
        <w:outlineLvl w:val="0"/>
        <w:rPr>
          <w:rFonts w:ascii="Arial" w:hAnsi="Arial" w:cs="Arial"/>
          <w:bCs/>
          <w:color w:val="808080" w:themeColor="background1" w:themeShade="80"/>
          <w:sz w:val="15"/>
          <w:szCs w:val="13"/>
          <w:lang w:val="it-IT"/>
        </w:rPr>
      </w:pPr>
      <w:hyperlink r:id="rId17" w:history="1">
        <w:r w:rsidR="00DD6C16">
          <w:rPr>
            <w:rStyle w:val="Collegamentoipertestuale"/>
            <w:rFonts w:ascii="Arial" w:hAnsi="Arial" w:cs="Arial"/>
            <w:color w:val="808080" w:themeColor="background1" w:themeShade="80"/>
            <w:sz w:val="15"/>
            <w:szCs w:val="13"/>
            <w:lang w:val="it"/>
          </w:rPr>
          <w:t>CorpComm@topcon.com</w:t>
        </w:r>
      </w:hyperlink>
    </w:p>
    <w:p w14:paraId="54F11247" w14:textId="77777777" w:rsidR="008D041A" w:rsidRPr="00932BDE" w:rsidRDefault="00F61E29" w:rsidP="00612FA3">
      <w:pPr>
        <w:rPr>
          <w:rFonts w:ascii="Arial" w:hAnsi="Arial" w:cs="Arial"/>
          <w:bCs/>
          <w:color w:val="808080" w:themeColor="background1" w:themeShade="80"/>
          <w:sz w:val="15"/>
          <w:szCs w:val="13"/>
        </w:rPr>
      </w:pPr>
      <w:r w:rsidRPr="00A36F25">
        <w:rPr>
          <w:rFonts w:ascii="Arial" w:hAnsi="Arial" w:cs="Arial"/>
          <w:color w:val="808080" w:themeColor="background1" w:themeShade="80"/>
          <w:sz w:val="15"/>
          <w:szCs w:val="13"/>
        </w:rPr>
        <w:t>Staci Fitzgerald, +1 925-245-8610</w:t>
      </w:r>
    </w:p>
    <w:p w14:paraId="3F571ABD" w14:textId="77777777" w:rsidR="00BA6826" w:rsidRPr="00932BDE" w:rsidRDefault="00BA6826" w:rsidP="00BA6826">
      <w:pPr>
        <w:jc w:val="right"/>
        <w:outlineLvl w:val="0"/>
        <w:rPr>
          <w:rFonts w:ascii="Arial" w:hAnsi="Arial"/>
          <w:color w:val="808080" w:themeColor="background1" w:themeShade="80"/>
          <w:sz w:val="15"/>
          <w:szCs w:val="15"/>
        </w:rPr>
      </w:pPr>
    </w:p>
    <w:p w14:paraId="0BA9A28C" w14:textId="77777777" w:rsidR="00EB1A0F" w:rsidRDefault="00932BDE" w:rsidP="00EB1A0F">
      <w:pPr>
        <w:outlineLvl w:val="0"/>
        <w:rPr>
          <w:rFonts w:ascii="Arial" w:hAnsi="Arial" w:cs="Arial"/>
          <w:b/>
          <w:color w:val="808080" w:themeColor="background1" w:themeShade="80"/>
          <w:sz w:val="15"/>
          <w:szCs w:val="13"/>
        </w:rPr>
      </w:pPr>
      <w:r w:rsidRPr="00A36F25">
        <w:rPr>
          <w:rFonts w:ascii="Arial" w:hAnsi="Arial" w:cs="Arial"/>
          <w:b/>
          <w:bCs/>
          <w:color w:val="808080" w:themeColor="background1" w:themeShade="80"/>
          <w:sz w:val="15"/>
          <w:szCs w:val="13"/>
        </w:rPr>
        <w:t>Bentley Systems</w:t>
      </w:r>
    </w:p>
    <w:p w14:paraId="05CD9F31" w14:textId="77777777" w:rsidR="00EB1A0F" w:rsidRPr="00EB1A0F" w:rsidRDefault="00EB1A0F" w:rsidP="00EB1A0F">
      <w:pPr>
        <w:outlineLvl w:val="0"/>
        <w:rPr>
          <w:rFonts w:ascii="Arial" w:hAnsi="Arial"/>
          <w:bCs/>
          <w:color w:val="808080" w:themeColor="background1" w:themeShade="80"/>
          <w:sz w:val="15"/>
          <w:szCs w:val="15"/>
        </w:rPr>
      </w:pPr>
      <w:r w:rsidRPr="00A36F25">
        <w:rPr>
          <w:rFonts w:ascii="Arial" w:hAnsi="Arial"/>
          <w:color w:val="808080" w:themeColor="background1" w:themeShade="80"/>
          <w:sz w:val="15"/>
          <w:szCs w:val="15"/>
          <w:u w:val="single"/>
        </w:rPr>
        <w:t>jennifer.maguire@bentley.com</w:t>
      </w:r>
    </w:p>
    <w:p w14:paraId="5A81A31F" w14:textId="422F06C6" w:rsidR="00AA0265" w:rsidRPr="00501DE9" w:rsidRDefault="00EB1A0F" w:rsidP="00AA0265">
      <w:pPr>
        <w:outlineLvl w:val="0"/>
        <w:rPr>
          <w:rFonts w:ascii="Arial" w:hAnsi="Arial"/>
          <w:color w:val="808080" w:themeColor="background1" w:themeShade="80"/>
          <w:sz w:val="15"/>
          <w:szCs w:val="15"/>
        </w:rPr>
      </w:pPr>
      <w:r>
        <w:rPr>
          <w:rFonts w:ascii="Arial" w:hAnsi="Arial"/>
          <w:color w:val="808080" w:themeColor="background1" w:themeShade="80"/>
          <w:sz w:val="15"/>
          <w:szCs w:val="15"/>
          <w:lang w:val="it"/>
        </w:rPr>
        <w:t>Jennifer Maguire, +1 610 458 2695</w:t>
      </w:r>
    </w:p>
    <w:sectPr w:rsidR="00AA0265" w:rsidRPr="00501DE9" w:rsidSect="00EB1A0F">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7D286" w14:textId="77777777" w:rsidR="004F5555" w:rsidRDefault="004F5555">
      <w:r>
        <w:separator/>
      </w:r>
    </w:p>
  </w:endnote>
  <w:endnote w:type="continuationSeparator" w:id="0">
    <w:p w14:paraId="5EE0FF28" w14:textId="77777777" w:rsidR="004F5555" w:rsidRDefault="004F5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66725" w14:textId="77777777" w:rsidR="0027537D" w:rsidRDefault="0027537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C513F" w14:textId="77777777" w:rsidR="0027537D" w:rsidRDefault="0027537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678DB" w14:textId="77777777" w:rsidR="0027537D" w:rsidRDefault="0027537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8EC5A" w14:textId="77777777" w:rsidR="004F5555" w:rsidRDefault="004F5555">
      <w:r>
        <w:separator/>
      </w:r>
    </w:p>
  </w:footnote>
  <w:footnote w:type="continuationSeparator" w:id="0">
    <w:p w14:paraId="109697CE" w14:textId="77777777" w:rsidR="004F5555" w:rsidRDefault="004F5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BE1FF" w14:textId="77777777" w:rsidR="0027537D" w:rsidRDefault="0027537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9BF6D" w14:textId="77777777" w:rsidR="0027537D" w:rsidRDefault="0027537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47CF4" w14:textId="77777777" w:rsidR="00870D37" w:rsidRPr="00EB1000" w:rsidRDefault="00BF37F1" w:rsidP="00846CEF">
    <w:pPr>
      <w:pStyle w:val="Intestazione"/>
      <w:ind w:left="-720" w:right="-720"/>
      <w:jc w:val="center"/>
      <w:rPr>
        <w:rFonts w:ascii="Arial" w:hAnsi="Arial"/>
        <w:color w:val="FFFFFF" w:themeColor="background1"/>
      </w:rPr>
    </w:pPr>
    <w:r>
      <w:rPr>
        <w:rFonts w:ascii="Arial" w:hAnsi="Arial"/>
        <w:noProof/>
        <w:color w:val="FFFFFF" w:themeColor="background1"/>
        <w:lang w:val="it-IT" w:eastAsia="zh-TW"/>
      </w:rPr>
      <w:drawing>
        <wp:anchor distT="0" distB="0" distL="114300" distR="114300" simplePos="0" relativeHeight="251658240" behindDoc="1" locked="0" layoutInCell="1" allowOverlap="1" wp14:anchorId="251DE500" wp14:editId="06E708BF">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DDAA622" w14:textId="77777777" w:rsidR="00870D37" w:rsidRPr="00EB1000" w:rsidRDefault="00870D37" w:rsidP="00220127">
    <w:pPr>
      <w:pStyle w:val="Intestazione"/>
      <w:ind w:right="-720"/>
      <w:jc w:val="right"/>
      <w:rPr>
        <w:rFonts w:ascii="Arial" w:hAnsi="Arial"/>
        <w:color w:val="FFFFFF" w:themeColor="background1"/>
        <w:sz w:val="32"/>
        <w:szCs w:val="32"/>
      </w:rPr>
    </w:pPr>
  </w:p>
  <w:p w14:paraId="58244C2E" w14:textId="77777777" w:rsidR="00870D37" w:rsidRPr="001A276A" w:rsidRDefault="005F0C86" w:rsidP="00220127">
    <w:pPr>
      <w:pStyle w:val="Intestazione"/>
      <w:ind w:right="-720"/>
      <w:jc w:val="right"/>
      <w:rPr>
        <w:rFonts w:ascii="Arial" w:hAnsi="Arial"/>
        <w:color w:val="EEB111"/>
        <w:sz w:val="32"/>
        <w:szCs w:val="32"/>
      </w:rPr>
    </w:pPr>
    <w:r>
      <w:rPr>
        <w:rFonts w:ascii="Arial" w:hAnsi="Arial"/>
        <w:color w:val="EEB111"/>
        <w:sz w:val="32"/>
        <w:szCs w:val="32"/>
        <w:lang w:val="it"/>
      </w:rPr>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embedSystemFonts/>
  <w:hideSpellingErrors/>
  <w:hideGrammaticalError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13D0"/>
    <w:rsid w:val="00177523"/>
    <w:rsid w:val="001855FB"/>
    <w:rsid w:val="00193D13"/>
    <w:rsid w:val="001A276A"/>
    <w:rsid w:val="001A5950"/>
    <w:rsid w:val="001B6BA0"/>
    <w:rsid w:val="001D47AE"/>
    <w:rsid w:val="001E495F"/>
    <w:rsid w:val="0021108A"/>
    <w:rsid w:val="00211CAC"/>
    <w:rsid w:val="0021353A"/>
    <w:rsid w:val="00220127"/>
    <w:rsid w:val="00234742"/>
    <w:rsid w:val="002377E8"/>
    <w:rsid w:val="00247FF4"/>
    <w:rsid w:val="00265C21"/>
    <w:rsid w:val="00267859"/>
    <w:rsid w:val="002751AA"/>
    <w:rsid w:val="0027537D"/>
    <w:rsid w:val="002811A7"/>
    <w:rsid w:val="00283421"/>
    <w:rsid w:val="0028401A"/>
    <w:rsid w:val="002841A2"/>
    <w:rsid w:val="002A070C"/>
    <w:rsid w:val="002B2158"/>
    <w:rsid w:val="002B32F1"/>
    <w:rsid w:val="002B65A9"/>
    <w:rsid w:val="002E2BC8"/>
    <w:rsid w:val="002E5E21"/>
    <w:rsid w:val="002E7E50"/>
    <w:rsid w:val="00313F6E"/>
    <w:rsid w:val="003163AA"/>
    <w:rsid w:val="0032173B"/>
    <w:rsid w:val="003217F4"/>
    <w:rsid w:val="00340920"/>
    <w:rsid w:val="0034149B"/>
    <w:rsid w:val="003507A9"/>
    <w:rsid w:val="00353911"/>
    <w:rsid w:val="00355294"/>
    <w:rsid w:val="003801D4"/>
    <w:rsid w:val="0038352E"/>
    <w:rsid w:val="0039761D"/>
    <w:rsid w:val="003A6C06"/>
    <w:rsid w:val="003A7243"/>
    <w:rsid w:val="003B1941"/>
    <w:rsid w:val="003B200E"/>
    <w:rsid w:val="003B4135"/>
    <w:rsid w:val="003B6855"/>
    <w:rsid w:val="003C6648"/>
    <w:rsid w:val="003D43D3"/>
    <w:rsid w:val="003F134C"/>
    <w:rsid w:val="003F5E34"/>
    <w:rsid w:val="00412292"/>
    <w:rsid w:val="00413E95"/>
    <w:rsid w:val="00416269"/>
    <w:rsid w:val="004231F9"/>
    <w:rsid w:val="0043387D"/>
    <w:rsid w:val="00433A38"/>
    <w:rsid w:val="00471166"/>
    <w:rsid w:val="00482A23"/>
    <w:rsid w:val="00486106"/>
    <w:rsid w:val="004C2A52"/>
    <w:rsid w:val="004C458C"/>
    <w:rsid w:val="004C4705"/>
    <w:rsid w:val="004C7DC9"/>
    <w:rsid w:val="004D399D"/>
    <w:rsid w:val="004D3DE4"/>
    <w:rsid w:val="004F0BDC"/>
    <w:rsid w:val="004F5555"/>
    <w:rsid w:val="00501DE9"/>
    <w:rsid w:val="00513E5B"/>
    <w:rsid w:val="00515CDD"/>
    <w:rsid w:val="00516224"/>
    <w:rsid w:val="00527B70"/>
    <w:rsid w:val="00536EAB"/>
    <w:rsid w:val="005378E1"/>
    <w:rsid w:val="005502C7"/>
    <w:rsid w:val="005617EB"/>
    <w:rsid w:val="0058710D"/>
    <w:rsid w:val="00587A94"/>
    <w:rsid w:val="00591DE1"/>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7E81"/>
    <w:rsid w:val="0064309C"/>
    <w:rsid w:val="006456AE"/>
    <w:rsid w:val="00653C74"/>
    <w:rsid w:val="006643CB"/>
    <w:rsid w:val="006713DD"/>
    <w:rsid w:val="006926B3"/>
    <w:rsid w:val="0069644C"/>
    <w:rsid w:val="006A0908"/>
    <w:rsid w:val="006B2A9A"/>
    <w:rsid w:val="006C6B2E"/>
    <w:rsid w:val="006E05C2"/>
    <w:rsid w:val="006E2F31"/>
    <w:rsid w:val="006E7A16"/>
    <w:rsid w:val="007127A0"/>
    <w:rsid w:val="007530F6"/>
    <w:rsid w:val="00756005"/>
    <w:rsid w:val="007605FA"/>
    <w:rsid w:val="00765F8C"/>
    <w:rsid w:val="00773A4C"/>
    <w:rsid w:val="0078639E"/>
    <w:rsid w:val="00790F45"/>
    <w:rsid w:val="007B3233"/>
    <w:rsid w:val="007C481B"/>
    <w:rsid w:val="007C5005"/>
    <w:rsid w:val="007D26FD"/>
    <w:rsid w:val="00810DE0"/>
    <w:rsid w:val="008141F4"/>
    <w:rsid w:val="008223E1"/>
    <w:rsid w:val="00832E9A"/>
    <w:rsid w:val="008370B6"/>
    <w:rsid w:val="00846CEF"/>
    <w:rsid w:val="00853C9A"/>
    <w:rsid w:val="00862F60"/>
    <w:rsid w:val="00870D37"/>
    <w:rsid w:val="008802C4"/>
    <w:rsid w:val="00891FF7"/>
    <w:rsid w:val="008962D4"/>
    <w:rsid w:val="008D0202"/>
    <w:rsid w:val="008D041A"/>
    <w:rsid w:val="008F54A3"/>
    <w:rsid w:val="009115C1"/>
    <w:rsid w:val="00932BDE"/>
    <w:rsid w:val="00937F53"/>
    <w:rsid w:val="009434F4"/>
    <w:rsid w:val="00953F3D"/>
    <w:rsid w:val="00956EF7"/>
    <w:rsid w:val="00963525"/>
    <w:rsid w:val="009666D5"/>
    <w:rsid w:val="00975493"/>
    <w:rsid w:val="00980A68"/>
    <w:rsid w:val="009914F1"/>
    <w:rsid w:val="009964DE"/>
    <w:rsid w:val="009A61FB"/>
    <w:rsid w:val="009C3261"/>
    <w:rsid w:val="00A06D66"/>
    <w:rsid w:val="00A30EA6"/>
    <w:rsid w:val="00A36D45"/>
    <w:rsid w:val="00A36F25"/>
    <w:rsid w:val="00A47E24"/>
    <w:rsid w:val="00A57BD4"/>
    <w:rsid w:val="00A60195"/>
    <w:rsid w:val="00A91273"/>
    <w:rsid w:val="00A9365C"/>
    <w:rsid w:val="00A940E1"/>
    <w:rsid w:val="00A95736"/>
    <w:rsid w:val="00A976A5"/>
    <w:rsid w:val="00AA0265"/>
    <w:rsid w:val="00AA2A43"/>
    <w:rsid w:val="00AA5C55"/>
    <w:rsid w:val="00AB50D8"/>
    <w:rsid w:val="00AC09BA"/>
    <w:rsid w:val="00AE6481"/>
    <w:rsid w:val="00AF6848"/>
    <w:rsid w:val="00B1777C"/>
    <w:rsid w:val="00B402B7"/>
    <w:rsid w:val="00B4058E"/>
    <w:rsid w:val="00B64457"/>
    <w:rsid w:val="00B92736"/>
    <w:rsid w:val="00B92C56"/>
    <w:rsid w:val="00B92CFE"/>
    <w:rsid w:val="00BA6826"/>
    <w:rsid w:val="00BB19B5"/>
    <w:rsid w:val="00BB25D3"/>
    <w:rsid w:val="00BB4455"/>
    <w:rsid w:val="00BC6358"/>
    <w:rsid w:val="00BD71D0"/>
    <w:rsid w:val="00BE5DE2"/>
    <w:rsid w:val="00BE6753"/>
    <w:rsid w:val="00BF1DD5"/>
    <w:rsid w:val="00BF37F1"/>
    <w:rsid w:val="00C01690"/>
    <w:rsid w:val="00C03ADA"/>
    <w:rsid w:val="00C23A3B"/>
    <w:rsid w:val="00C31391"/>
    <w:rsid w:val="00C33DB6"/>
    <w:rsid w:val="00C638D1"/>
    <w:rsid w:val="00C71809"/>
    <w:rsid w:val="00C7476A"/>
    <w:rsid w:val="00C7597C"/>
    <w:rsid w:val="00C817C9"/>
    <w:rsid w:val="00C92C21"/>
    <w:rsid w:val="00C958B3"/>
    <w:rsid w:val="00CD3455"/>
    <w:rsid w:val="00CE142B"/>
    <w:rsid w:val="00CE188F"/>
    <w:rsid w:val="00CE7843"/>
    <w:rsid w:val="00CF403B"/>
    <w:rsid w:val="00CF7FC5"/>
    <w:rsid w:val="00D04C84"/>
    <w:rsid w:val="00D06CD0"/>
    <w:rsid w:val="00D21DEA"/>
    <w:rsid w:val="00D47414"/>
    <w:rsid w:val="00D55832"/>
    <w:rsid w:val="00D62FA8"/>
    <w:rsid w:val="00D6369D"/>
    <w:rsid w:val="00D647FC"/>
    <w:rsid w:val="00D65D7A"/>
    <w:rsid w:val="00D6784A"/>
    <w:rsid w:val="00D70AF0"/>
    <w:rsid w:val="00D70EE2"/>
    <w:rsid w:val="00D91CF0"/>
    <w:rsid w:val="00D979CB"/>
    <w:rsid w:val="00DA66FE"/>
    <w:rsid w:val="00DC60A0"/>
    <w:rsid w:val="00DD6C16"/>
    <w:rsid w:val="00E07F73"/>
    <w:rsid w:val="00E16158"/>
    <w:rsid w:val="00E32B47"/>
    <w:rsid w:val="00E72367"/>
    <w:rsid w:val="00E95EFF"/>
    <w:rsid w:val="00EB1000"/>
    <w:rsid w:val="00EB1A0F"/>
    <w:rsid w:val="00EC3044"/>
    <w:rsid w:val="00ED70D3"/>
    <w:rsid w:val="00EE1C16"/>
    <w:rsid w:val="00EE33D2"/>
    <w:rsid w:val="00EF0411"/>
    <w:rsid w:val="00F463E2"/>
    <w:rsid w:val="00F55F20"/>
    <w:rsid w:val="00F6101F"/>
    <w:rsid w:val="00F61E29"/>
    <w:rsid w:val="00F757D3"/>
    <w:rsid w:val="00F81B4F"/>
    <w:rsid w:val="00F86B3B"/>
    <w:rsid w:val="00F94B69"/>
    <w:rsid w:val="00F94E58"/>
    <w:rsid w:val="00FA3772"/>
    <w:rsid w:val="00FA7601"/>
    <w:rsid w:val="00FB0DA8"/>
    <w:rsid w:val="00FB146B"/>
    <w:rsid w:val="00FB4CB7"/>
    <w:rsid w:val="00FB613D"/>
    <w:rsid w:val="00FC747F"/>
    <w:rsid w:val="00FD032D"/>
    <w:rsid w:val="00FD070E"/>
    <w:rsid w:val="00FD6101"/>
    <w:rsid w:val="00FF3E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DF235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rsid w:val="00B02764"/>
    <w:rPr>
      <w:sz w:val="24"/>
      <w:szCs w:val="24"/>
    </w:rPr>
  </w:style>
  <w:style w:type="paragraph" w:styleId="Titolo1">
    <w:name w:val="heading 1"/>
    <w:basedOn w:val="Normale"/>
    <w:next w:val="Normale"/>
    <w:link w:val="Titolo1Carattere"/>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40904"/>
    <w:rPr>
      <w:rFonts w:ascii="Lucida Grande" w:hAnsi="Lucida Grande"/>
      <w:sz w:val="18"/>
      <w:szCs w:val="18"/>
    </w:rPr>
  </w:style>
  <w:style w:type="paragraph" w:styleId="Intestazione">
    <w:name w:val="header"/>
    <w:basedOn w:val="Normale"/>
    <w:rsid w:val="00B02764"/>
    <w:pPr>
      <w:tabs>
        <w:tab w:val="center" w:pos="4320"/>
        <w:tab w:val="right" w:pos="8640"/>
      </w:tabs>
    </w:pPr>
  </w:style>
  <w:style w:type="paragraph" w:styleId="Pidipagina">
    <w:name w:val="footer"/>
    <w:basedOn w:val="Normale"/>
    <w:semiHidden/>
    <w:rsid w:val="00B02764"/>
    <w:pPr>
      <w:tabs>
        <w:tab w:val="center" w:pos="4320"/>
        <w:tab w:val="right" w:pos="8640"/>
      </w:tabs>
    </w:pPr>
  </w:style>
  <w:style w:type="character" w:styleId="Numeropagina">
    <w:name w:val="page number"/>
    <w:basedOn w:val="Carpredefinitoparagrafo"/>
    <w:rsid w:val="00B02764"/>
  </w:style>
  <w:style w:type="paragraph" w:styleId="NormaleWeb">
    <w:name w:val="Normal (Web)"/>
    <w:basedOn w:val="Normale"/>
    <w:uiPriority w:val="99"/>
    <w:unhideWhenUsed/>
    <w:rsid w:val="000F15F5"/>
    <w:pPr>
      <w:spacing w:before="100" w:beforeAutospacing="1" w:after="100" w:afterAutospacing="1"/>
    </w:pPr>
    <w:rPr>
      <w:rFonts w:ascii="Times" w:eastAsia="MS Mincho" w:hAnsi="Times"/>
      <w:sz w:val="20"/>
      <w:szCs w:val="20"/>
    </w:rPr>
  </w:style>
  <w:style w:type="character" w:styleId="Collegamentoipertestuale">
    <w:name w:val="Hyperlink"/>
    <w:uiPriority w:val="99"/>
    <w:unhideWhenUsed/>
    <w:rsid w:val="000F15F5"/>
    <w:rPr>
      <w:color w:val="0000FF"/>
      <w:u w:val="single"/>
    </w:rPr>
  </w:style>
  <w:style w:type="character" w:styleId="Collegamentovisitato">
    <w:name w:val="FollowedHyperlink"/>
    <w:uiPriority w:val="99"/>
    <w:semiHidden/>
    <w:unhideWhenUsed/>
    <w:rsid w:val="0061580F"/>
    <w:rPr>
      <w:color w:val="800080"/>
      <w:u w:val="single"/>
    </w:rPr>
  </w:style>
  <w:style w:type="character" w:customStyle="1" w:styleId="Titolo1Carattere">
    <w:name w:val="Titolo 1 Carattere"/>
    <w:basedOn w:val="Carpredefinitoparagrafo"/>
    <w:link w:val="Titolo1"/>
    <w:uiPriority w:val="9"/>
    <w:rsid w:val="00413E95"/>
    <w:rPr>
      <w:rFonts w:ascii="Arial" w:eastAsiaTheme="majorEastAsia" w:hAnsi="Arial" w:cstheme="majorBidi"/>
      <w:b/>
      <w:bCs/>
      <w:color w:val="000000" w:themeColor="text1"/>
      <w:sz w:val="44"/>
      <w:szCs w:val="32"/>
    </w:rPr>
  </w:style>
  <w:style w:type="paragraph" w:styleId="Mappadocumento">
    <w:name w:val="Document Map"/>
    <w:basedOn w:val="Normale"/>
    <w:link w:val="MappadocumentoCarattere"/>
    <w:uiPriority w:val="99"/>
    <w:semiHidden/>
    <w:unhideWhenUsed/>
    <w:rsid w:val="00F61E29"/>
  </w:style>
  <w:style w:type="character" w:customStyle="1" w:styleId="MappadocumentoCarattere">
    <w:name w:val="Mappa documento Carattere"/>
    <w:basedOn w:val="Carpredefinitoparagrafo"/>
    <w:link w:val="Mappadocumento"/>
    <w:uiPriority w:val="99"/>
    <w:semiHidden/>
    <w:rsid w:val="00F61E29"/>
    <w:rPr>
      <w:sz w:val="24"/>
      <w:szCs w:val="24"/>
    </w:rPr>
  </w:style>
  <w:style w:type="paragraph" w:customStyle="1" w:styleId="p1">
    <w:name w:val="p1"/>
    <w:basedOn w:val="Normale"/>
    <w:rsid w:val="00041628"/>
    <w:rPr>
      <w:rFonts w:ascii="Calibri" w:hAnsi="Calibri"/>
      <w:sz w:val="17"/>
      <w:szCs w:val="17"/>
    </w:rPr>
  </w:style>
  <w:style w:type="character" w:customStyle="1" w:styleId="s1">
    <w:name w:val="s1"/>
    <w:basedOn w:val="Carpredefinitoparagrafo"/>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00593">
      <w:bodyDiv w:val="1"/>
      <w:marLeft w:val="0"/>
      <w:marRight w:val="0"/>
      <w:marTop w:val="0"/>
      <w:marBottom w:val="0"/>
      <w:divBdr>
        <w:top w:val="none" w:sz="0" w:space="0" w:color="auto"/>
        <w:left w:val="none" w:sz="0" w:space="0" w:color="auto"/>
        <w:bottom w:val="none" w:sz="0" w:space="0" w:color="auto"/>
        <w:right w:val="none" w:sz="0" w:space="0" w:color="auto"/>
      </w:divBdr>
    </w:div>
    <w:div w:id="371807310">
      <w:bodyDiv w:val="1"/>
      <w:marLeft w:val="0"/>
      <w:marRight w:val="0"/>
      <w:marTop w:val="0"/>
      <w:marBottom w:val="0"/>
      <w:divBdr>
        <w:top w:val="none" w:sz="0" w:space="0" w:color="auto"/>
        <w:left w:val="none" w:sz="0" w:space="0" w:color="auto"/>
        <w:bottom w:val="none" w:sz="0" w:space="0" w:color="auto"/>
        <w:right w:val="none" w:sz="0" w:space="0" w:color="auto"/>
      </w:divBdr>
    </w:div>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22915722">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921642828">
      <w:bodyDiv w:val="1"/>
      <w:marLeft w:val="0"/>
      <w:marRight w:val="0"/>
      <w:marTop w:val="0"/>
      <w:marBottom w:val="0"/>
      <w:divBdr>
        <w:top w:val="none" w:sz="0" w:space="0" w:color="auto"/>
        <w:left w:val="none" w:sz="0" w:space="0" w:color="auto"/>
        <w:bottom w:val="none" w:sz="0" w:space="0" w:color="auto"/>
        <w:right w:val="none" w:sz="0" w:space="0" w:color="auto"/>
      </w:divBdr>
    </w:div>
    <w:div w:id="1230386944">
      <w:bodyDiv w:val="1"/>
      <w:marLeft w:val="0"/>
      <w:marRight w:val="0"/>
      <w:marTop w:val="0"/>
      <w:marBottom w:val="0"/>
      <w:divBdr>
        <w:top w:val="none" w:sz="0" w:space="0" w:color="auto"/>
        <w:left w:val="none" w:sz="0" w:space="0" w:color="auto"/>
        <w:bottom w:val="none" w:sz="0" w:space="0" w:color="auto"/>
        <w:right w:val="none" w:sz="0" w:space="0" w:color="auto"/>
      </w:divBdr>
    </w:div>
    <w:div w:id="1236739782">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432555033">
      <w:bodyDiv w:val="1"/>
      <w:marLeft w:val="0"/>
      <w:marRight w:val="0"/>
      <w:marTop w:val="0"/>
      <w:marBottom w:val="0"/>
      <w:divBdr>
        <w:top w:val="none" w:sz="0" w:space="0" w:color="auto"/>
        <w:left w:val="none" w:sz="0" w:space="0" w:color="auto"/>
        <w:bottom w:val="none" w:sz="0" w:space="0" w:color="auto"/>
        <w:right w:val="none" w:sz="0" w:space="0" w:color="auto"/>
      </w:divBdr>
    </w:div>
    <w:div w:id="1937518007">
      <w:bodyDiv w:val="1"/>
      <w:marLeft w:val="0"/>
      <w:marRight w:val="0"/>
      <w:marTop w:val="0"/>
      <w:marBottom w:val="0"/>
      <w:divBdr>
        <w:top w:val="none" w:sz="0" w:space="0" w:color="auto"/>
        <w:left w:val="none" w:sz="0" w:space="0" w:color="auto"/>
        <w:bottom w:val="none" w:sz="0" w:space="0" w:color="auto"/>
        <w:right w:val="none" w:sz="0" w:space="0" w:color="auto"/>
      </w:divBdr>
    </w:div>
    <w:div w:id="2048407714">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entley.com/yii2017"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bentley.com/en/news-feed" TargetMode="External"/><Relationship Id="rId17" Type="http://schemas.openxmlformats.org/officeDocument/2006/relationships/hyperlink" Target="mailto:CorpComm@topcon.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entley.com/en/top-infrastructure-owne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ntley.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ommunities.bentley.com/" TargetMode="External"/><Relationship Id="rId23" Type="http://schemas.openxmlformats.org/officeDocument/2006/relationships/footer" Target="footer3.xml"/><Relationship Id="rId10" Type="http://schemas.openxmlformats.org/officeDocument/2006/relationships/hyperlink" Target="http://global.topcon.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topconpositioning.com/" TargetMode="External"/><Relationship Id="rId14" Type="http://schemas.openxmlformats.org/officeDocument/2006/relationships/hyperlink" Target="https://www.bentley.com/en/infrastructure-yearbook"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0F88-0C3B-4EBC-AD66-B3DB4F76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1574</Words>
  <Characters>8973</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10526</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2017-10-10T14:22:00Z</dcterms:created>
  <dcterms:modified xsi:type="dcterms:W3CDTF">2017-10-12T11:02:00Z</dcterms:modified>
  <cp:category/>
</cp:coreProperties>
</file>