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E256E0A" w14:textId="77777777" w:rsidR="00BE666D" w:rsidRPr="00BE666D" w:rsidRDefault="00BE666D" w:rsidP="00882DC6">
      <w:pPr>
        <w:jc w:val="center"/>
        <w:rPr>
          <w:rFonts w:ascii="Arial" w:hAnsi="Arial" w:cs="Arial"/>
          <w:b/>
          <w:color w:val="007AC2"/>
          <w:sz w:val="21"/>
        </w:rPr>
      </w:pPr>
    </w:p>
    <w:p w14:paraId="6425E53E" w14:textId="77777777" w:rsidR="002078F0" w:rsidRDefault="002078F0" w:rsidP="002078F0">
      <w:pPr>
        <w:jc w:val="center"/>
        <w:rPr>
          <w:rFonts w:ascii="Arial" w:hAnsi="Arial" w:cs="Arial"/>
          <w:b/>
          <w:color w:val="007AC2"/>
          <w:sz w:val="15"/>
        </w:rPr>
      </w:pPr>
    </w:p>
    <w:p w14:paraId="3CAB884A" w14:textId="5D5F5BAB" w:rsidR="00DD2507" w:rsidRPr="00DD2507" w:rsidRDefault="00BB78BB" w:rsidP="00DD2507">
      <w:pPr>
        <w:rPr>
          <w:rFonts w:ascii="Arial" w:hAnsi="Arial" w:cs="Arial"/>
          <w:b/>
          <w:color w:val="007DC5"/>
          <w:sz w:val="36"/>
        </w:rPr>
      </w:pPr>
      <w:r>
        <w:rPr>
          <w:rFonts w:ascii="Arial" w:hAnsi="Arial" w:cs="Arial"/>
          <w:b/>
          <w:color w:val="007DC5"/>
          <w:sz w:val="36"/>
        </w:rPr>
        <w:t xml:space="preserve">  </w:t>
      </w:r>
    </w:p>
    <w:p w14:paraId="58D64833" w14:textId="77777777" w:rsidR="008A2019" w:rsidRDefault="00DD2507" w:rsidP="00DD2507">
      <w:pPr>
        <w:jc w:val="center"/>
        <w:rPr>
          <w:rFonts w:ascii="Arial" w:hAnsi="Arial" w:cs="Arial"/>
          <w:b/>
          <w:color w:val="007DC5"/>
          <w:sz w:val="36"/>
        </w:rPr>
      </w:pPr>
      <w:r w:rsidRPr="00DD2507">
        <w:rPr>
          <w:rFonts w:ascii="Arial" w:hAnsi="Arial" w:cs="Arial"/>
          <w:b/>
          <w:color w:val="007DC5"/>
          <w:sz w:val="36"/>
        </w:rPr>
        <w:t xml:space="preserve">Topcon featured in keynote presentation at </w:t>
      </w:r>
    </w:p>
    <w:p w14:paraId="1B98562D" w14:textId="468E36BA" w:rsidR="00DD2507" w:rsidRPr="00DD2507" w:rsidRDefault="00DD2507" w:rsidP="00DD2507">
      <w:pPr>
        <w:jc w:val="center"/>
        <w:rPr>
          <w:rFonts w:ascii="Arial" w:hAnsi="Arial" w:cs="Arial"/>
          <w:b/>
          <w:color w:val="007DC5"/>
          <w:sz w:val="36"/>
        </w:rPr>
      </w:pPr>
      <w:r w:rsidRPr="00DD2507">
        <w:rPr>
          <w:rFonts w:ascii="Arial" w:hAnsi="Arial" w:cs="Arial"/>
          <w:b/>
          <w:color w:val="007DC5"/>
          <w:sz w:val="36"/>
        </w:rPr>
        <w:t>SAP conference</w:t>
      </w:r>
    </w:p>
    <w:p w14:paraId="51257D0F" w14:textId="52F7C0BC" w:rsidR="00DD2507" w:rsidRPr="008A2019" w:rsidRDefault="00DD2507" w:rsidP="00DD2507">
      <w:pPr>
        <w:tabs>
          <w:tab w:val="left" w:pos="270"/>
        </w:tabs>
        <w:spacing w:line="360" w:lineRule="auto"/>
        <w:jc w:val="center"/>
        <w:rPr>
          <w:rFonts w:ascii="Arial" w:hAnsi="Arial" w:cs="Arial"/>
          <w:b/>
          <w:i/>
          <w:szCs w:val="32"/>
        </w:rPr>
      </w:pPr>
      <w:r w:rsidRPr="008A2019">
        <w:rPr>
          <w:rFonts w:ascii="Arial" w:hAnsi="Arial" w:cs="Arial"/>
          <w:b/>
          <w:i/>
          <w:szCs w:val="32"/>
        </w:rPr>
        <w:t xml:space="preserve">Topcon and SAP demonstrate infrastructure digitalization </w:t>
      </w:r>
    </w:p>
    <w:p w14:paraId="1231747C" w14:textId="77777777" w:rsidR="00C076B8" w:rsidRPr="00DE055B" w:rsidRDefault="00C076B8" w:rsidP="00F96246">
      <w:pPr>
        <w:jc w:val="center"/>
        <w:rPr>
          <w:rFonts w:ascii="Arial" w:hAnsi="Arial" w:cs="Arial"/>
          <w:b/>
          <w:color w:val="007AC2"/>
          <w:sz w:val="13"/>
        </w:rPr>
      </w:pPr>
    </w:p>
    <w:p w14:paraId="2FA3ED96" w14:textId="40E88508" w:rsidR="00DD2507" w:rsidRPr="00DD2507" w:rsidRDefault="00DD2507" w:rsidP="00DD2507">
      <w:pPr>
        <w:rPr>
          <w:rFonts w:ascii="Arial" w:hAnsi="Arial" w:cs="Arial"/>
          <w:b/>
          <w:bCs/>
          <w:sz w:val="22"/>
          <w:szCs w:val="22"/>
        </w:rPr>
      </w:pPr>
      <w:r w:rsidRPr="00DD2507">
        <w:rPr>
          <w:rFonts w:ascii="Arial" w:hAnsi="Arial" w:cs="Arial"/>
          <w:i/>
          <w:sz w:val="22"/>
          <w:szCs w:val="22"/>
        </w:rPr>
        <w:t xml:space="preserve">ORLANDO, Fla. </w:t>
      </w:r>
      <w:r w:rsidR="00CC164E" w:rsidRPr="00DD2507">
        <w:rPr>
          <w:rFonts w:ascii="Arial" w:hAnsi="Arial" w:cs="Arial"/>
          <w:i/>
          <w:sz w:val="22"/>
          <w:szCs w:val="22"/>
        </w:rPr>
        <w:t>–</w:t>
      </w:r>
      <w:r w:rsidR="001010F9" w:rsidRPr="00DD2507">
        <w:rPr>
          <w:rFonts w:ascii="Arial" w:hAnsi="Arial" w:cs="Arial"/>
          <w:i/>
          <w:sz w:val="22"/>
          <w:szCs w:val="22"/>
        </w:rPr>
        <w:t xml:space="preserve"> </w:t>
      </w:r>
      <w:r w:rsidRPr="00DD2507">
        <w:rPr>
          <w:rFonts w:ascii="Arial" w:hAnsi="Arial" w:cs="Arial"/>
          <w:i/>
          <w:sz w:val="22"/>
          <w:szCs w:val="22"/>
        </w:rPr>
        <w:t>May 7</w:t>
      </w:r>
      <w:r w:rsidR="00DE055B" w:rsidRPr="00DD2507">
        <w:rPr>
          <w:rFonts w:ascii="Arial" w:hAnsi="Arial" w:cs="Arial"/>
          <w:i/>
          <w:sz w:val="22"/>
          <w:szCs w:val="22"/>
        </w:rPr>
        <w:t>, 2019</w:t>
      </w:r>
      <w:r w:rsidR="00CC164E" w:rsidRPr="00DD2507">
        <w:rPr>
          <w:rFonts w:ascii="Arial" w:hAnsi="Arial" w:cs="Arial"/>
          <w:i/>
          <w:sz w:val="22"/>
          <w:szCs w:val="22"/>
        </w:rPr>
        <w:t xml:space="preserve"> –</w:t>
      </w:r>
      <w:r>
        <w:rPr>
          <w:rFonts w:ascii="Arial" w:hAnsi="Arial" w:cs="Arial"/>
          <w:i/>
          <w:sz w:val="22"/>
          <w:szCs w:val="22"/>
        </w:rPr>
        <w:t xml:space="preserve"> </w:t>
      </w:r>
      <w:r w:rsidRPr="00DD2507">
        <w:rPr>
          <w:rFonts w:ascii="Arial" w:hAnsi="Arial" w:cs="Arial"/>
          <w:sz w:val="22"/>
          <w:szCs w:val="22"/>
        </w:rPr>
        <w:t>Topcon Positio</w:t>
      </w:r>
      <w:bookmarkStart w:id="0" w:name="_GoBack"/>
      <w:bookmarkEnd w:id="0"/>
      <w:r w:rsidRPr="00DD2507">
        <w:rPr>
          <w:rFonts w:ascii="Arial" w:hAnsi="Arial" w:cs="Arial"/>
          <w:sz w:val="22"/>
          <w:szCs w:val="22"/>
        </w:rPr>
        <w:t>ning Group announces it was featured today in a keynote presentation at SAP’s annual </w:t>
      </w:r>
      <w:r w:rsidRPr="00DD2507">
        <w:rPr>
          <w:rFonts w:ascii="Arial" w:hAnsi="Arial" w:cs="Arial"/>
          <w:bCs/>
          <w:sz w:val="22"/>
          <w:szCs w:val="22"/>
        </w:rPr>
        <w:t>SAPPHIRE NOW and ASUG Annual Conference in Orlando, Florida. The presentation titled “</w:t>
      </w:r>
      <w:hyperlink r:id="rId8" w:history="1">
        <w:r w:rsidRPr="00DD2507">
          <w:rPr>
            <w:rStyle w:val="Hyperlink"/>
            <w:rFonts w:ascii="Arial" w:hAnsi="Arial" w:cs="Arial"/>
            <w:sz w:val="22"/>
            <w:szCs w:val="22"/>
          </w:rPr>
          <w:t>Manage Digital Disruption to Outperform Your Competition</w:t>
        </w:r>
      </w:hyperlink>
      <w:r w:rsidRPr="00DD2507">
        <w:rPr>
          <w:rFonts w:ascii="Arial" w:hAnsi="Arial" w:cs="Arial"/>
          <w:bCs/>
          <w:sz w:val="22"/>
          <w:szCs w:val="22"/>
        </w:rPr>
        <w:t>”</w:t>
      </w:r>
      <w:r w:rsidRPr="00DD2507">
        <w:rPr>
          <w:rFonts w:ascii="Arial" w:hAnsi="Arial" w:cs="Arial"/>
          <w:b/>
          <w:bCs/>
          <w:sz w:val="22"/>
          <w:szCs w:val="22"/>
        </w:rPr>
        <w:t xml:space="preserve"> </w:t>
      </w:r>
      <w:r w:rsidRPr="00DD2507">
        <w:rPr>
          <w:rFonts w:ascii="Arial" w:hAnsi="Arial" w:cs="Arial"/>
          <w:bCs/>
          <w:sz w:val="22"/>
          <w:szCs w:val="22"/>
        </w:rPr>
        <w:t>by Christian Klein, chief operating officer and member of the executive board of SAP SE, highlighted how digitalization is forcing companies to rethink the way they deliver products and services to customers.</w:t>
      </w:r>
    </w:p>
    <w:p w14:paraId="3EDE573A" w14:textId="77777777" w:rsidR="00DD2507" w:rsidRPr="00DD2507" w:rsidRDefault="00DD2507" w:rsidP="00DD2507">
      <w:pPr>
        <w:rPr>
          <w:rFonts w:ascii="Arial" w:hAnsi="Arial" w:cs="Arial"/>
          <w:bCs/>
          <w:sz w:val="22"/>
          <w:szCs w:val="22"/>
        </w:rPr>
      </w:pPr>
    </w:p>
    <w:p w14:paraId="72C52DB3" w14:textId="77777777" w:rsidR="00DD2507" w:rsidRPr="00DD2507" w:rsidRDefault="00DD2507" w:rsidP="00DD2507">
      <w:pPr>
        <w:rPr>
          <w:rFonts w:ascii="Arial" w:hAnsi="Arial" w:cs="Arial"/>
          <w:bCs/>
          <w:sz w:val="22"/>
          <w:szCs w:val="22"/>
        </w:rPr>
      </w:pPr>
      <w:r w:rsidRPr="00DD2507">
        <w:rPr>
          <w:rFonts w:ascii="Arial" w:hAnsi="Arial" w:cs="Arial"/>
          <w:bCs/>
          <w:sz w:val="22"/>
          <w:szCs w:val="22"/>
        </w:rPr>
        <w:t xml:space="preserve">At the presentation, Topcon and SAP demonstrated a road ecosystem that can deliver information quickly and efficiently in a scalable way by combining Topcon precision measurement and paving control expertise with SAP’s leadership as a business- and technology software provider. </w:t>
      </w:r>
    </w:p>
    <w:p w14:paraId="11771FDF" w14:textId="77777777" w:rsidR="00DD2507" w:rsidRPr="00DD2507" w:rsidRDefault="00DD2507" w:rsidP="00DD2507">
      <w:pPr>
        <w:rPr>
          <w:rFonts w:ascii="Arial" w:hAnsi="Arial" w:cs="Arial"/>
          <w:bCs/>
          <w:sz w:val="22"/>
          <w:szCs w:val="22"/>
        </w:rPr>
      </w:pPr>
    </w:p>
    <w:p w14:paraId="220E5A99" w14:textId="77777777" w:rsidR="00DD2507" w:rsidRPr="00DD2507" w:rsidRDefault="00DD2507" w:rsidP="00DD2507">
      <w:pPr>
        <w:rPr>
          <w:rFonts w:ascii="Arial" w:hAnsi="Arial" w:cs="Arial"/>
          <w:bCs/>
          <w:sz w:val="22"/>
          <w:szCs w:val="22"/>
        </w:rPr>
      </w:pPr>
      <w:r w:rsidRPr="00DD2507">
        <w:rPr>
          <w:rFonts w:ascii="Arial" w:hAnsi="Arial" w:cs="Arial"/>
          <w:bCs/>
          <w:sz w:val="22"/>
          <w:szCs w:val="22"/>
        </w:rPr>
        <w:t xml:space="preserve">Kris Cowles, Topcon VP, global application IT, said, “We are finding smart and completely new ways to tap into more data than ever before to achieve game-changing outcomes in the digital era.” </w:t>
      </w:r>
    </w:p>
    <w:p w14:paraId="1BB655FC" w14:textId="77777777" w:rsidR="00DD2507" w:rsidRPr="00DD2507" w:rsidRDefault="00DD2507" w:rsidP="00DD2507">
      <w:pPr>
        <w:rPr>
          <w:rFonts w:ascii="Arial" w:hAnsi="Arial" w:cs="Arial"/>
          <w:bCs/>
          <w:sz w:val="22"/>
          <w:szCs w:val="22"/>
        </w:rPr>
      </w:pPr>
    </w:p>
    <w:p w14:paraId="3D0D5314" w14:textId="77777777" w:rsidR="00DD2507" w:rsidRPr="00DD2507" w:rsidRDefault="00DD2507" w:rsidP="00DD2507">
      <w:pPr>
        <w:rPr>
          <w:rFonts w:ascii="Arial" w:hAnsi="Arial" w:cs="Arial"/>
          <w:bCs/>
          <w:sz w:val="22"/>
          <w:szCs w:val="22"/>
        </w:rPr>
      </w:pPr>
      <w:r w:rsidRPr="00DD2507">
        <w:rPr>
          <w:rFonts w:ascii="Arial" w:hAnsi="Arial" w:cs="Arial"/>
          <w:bCs/>
          <w:sz w:val="22"/>
          <w:szCs w:val="22"/>
        </w:rPr>
        <w:t xml:space="preserve">According to the Committee for Economic Development of The Conference Board, in 2014, traffic congestion wasted 6.9 billion hours of motorists’ time and consumed approximately 3.1 billion gallons of gasoline. Motorists had to pay more than $100 billion in additional auto repair and operating costs annually, due to damage and wear resulting from substandard road quality and road hazards. Poor road infrastructure led to an increase in traffic fatalities by 7% from 2014 to 2015, per the American Society of Civil Engineering. </w:t>
      </w:r>
    </w:p>
    <w:p w14:paraId="4338F863" w14:textId="77777777" w:rsidR="00DD2507" w:rsidRPr="00DD2507" w:rsidRDefault="00DD2507" w:rsidP="00DD2507">
      <w:pPr>
        <w:rPr>
          <w:rFonts w:ascii="Arial" w:hAnsi="Arial" w:cs="Arial"/>
          <w:bCs/>
          <w:sz w:val="22"/>
          <w:szCs w:val="22"/>
        </w:rPr>
      </w:pPr>
    </w:p>
    <w:p w14:paraId="7B9DCACC" w14:textId="77777777" w:rsidR="00DD2507" w:rsidRPr="00DD2507" w:rsidRDefault="00DD2507" w:rsidP="00DD2507">
      <w:pPr>
        <w:rPr>
          <w:rFonts w:ascii="Arial" w:hAnsi="Arial" w:cs="Arial"/>
          <w:bCs/>
          <w:sz w:val="22"/>
          <w:szCs w:val="22"/>
        </w:rPr>
      </w:pPr>
      <w:r w:rsidRPr="00DD2507">
        <w:rPr>
          <w:rFonts w:ascii="Arial" w:hAnsi="Arial" w:cs="Arial"/>
          <w:bCs/>
          <w:sz w:val="22"/>
          <w:szCs w:val="22"/>
        </w:rPr>
        <w:t xml:space="preserve">To help meet these challenges, SAP and Topcon teamed up to demonstrate how components of the Topcon revolutionary </w:t>
      </w:r>
      <w:proofErr w:type="spellStart"/>
      <w:r w:rsidRPr="00DD2507">
        <w:rPr>
          <w:rFonts w:ascii="Arial" w:hAnsi="Arial" w:cs="Arial"/>
          <w:bCs/>
          <w:sz w:val="22"/>
          <w:szCs w:val="22"/>
        </w:rPr>
        <w:t>SmoothRide</w:t>
      </w:r>
      <w:proofErr w:type="spellEnd"/>
      <w:r w:rsidRPr="00DD2507">
        <w:rPr>
          <w:rFonts w:ascii="Arial" w:hAnsi="Arial" w:cs="Arial"/>
          <w:bCs/>
          <w:sz w:val="22"/>
          <w:szCs w:val="22"/>
        </w:rPr>
        <w:t xml:space="preserve"> road resurfacing system can be combined with SAP technology to create a new innovative platform to improve road infrastructure.  </w:t>
      </w:r>
    </w:p>
    <w:p w14:paraId="6F79F655" w14:textId="77777777" w:rsidR="00DD2507" w:rsidRPr="00DD2507" w:rsidRDefault="00DD2507" w:rsidP="00DD2507">
      <w:pPr>
        <w:rPr>
          <w:rFonts w:ascii="Arial" w:hAnsi="Arial" w:cs="Arial"/>
          <w:bCs/>
          <w:sz w:val="22"/>
          <w:szCs w:val="22"/>
        </w:rPr>
      </w:pPr>
    </w:p>
    <w:p w14:paraId="34EC0F65" w14:textId="77777777" w:rsidR="00DD2507" w:rsidRPr="00DD2507" w:rsidRDefault="00DD2507" w:rsidP="00DD2507">
      <w:pPr>
        <w:rPr>
          <w:rFonts w:ascii="Arial" w:hAnsi="Arial" w:cs="Arial"/>
          <w:bCs/>
          <w:sz w:val="22"/>
          <w:szCs w:val="22"/>
        </w:rPr>
      </w:pPr>
      <w:r w:rsidRPr="00DD2507">
        <w:rPr>
          <w:rFonts w:ascii="Arial" w:hAnsi="Arial" w:cs="Arial"/>
          <w:bCs/>
          <w:sz w:val="22"/>
          <w:szCs w:val="22"/>
        </w:rPr>
        <w:t>Ray O’Connor, president and CEO of Topcon Positioning Group, said, “We collaborate and innovate using disruptive technology to meet the growing demands of the world. We have reached a crossroad where we now live in an incredible age of digital transformation and have the means to make changes in infrastructure and agriculture aided by modern technology.”</w:t>
      </w:r>
    </w:p>
    <w:p w14:paraId="5F175A8D" w14:textId="77777777" w:rsidR="00DD2507" w:rsidRPr="00DD2507" w:rsidRDefault="00DD2507" w:rsidP="00DD2507">
      <w:pPr>
        <w:rPr>
          <w:rFonts w:ascii="Arial" w:hAnsi="Arial" w:cs="Arial"/>
          <w:bCs/>
          <w:sz w:val="22"/>
          <w:szCs w:val="22"/>
        </w:rPr>
      </w:pPr>
    </w:p>
    <w:p w14:paraId="1DF9AA4B" w14:textId="77777777" w:rsidR="00DD2507" w:rsidRPr="00DD2507" w:rsidRDefault="00DD2507" w:rsidP="00DD2507">
      <w:pPr>
        <w:rPr>
          <w:rFonts w:ascii="Arial" w:hAnsi="Arial" w:cs="Arial"/>
          <w:sz w:val="22"/>
          <w:szCs w:val="22"/>
        </w:rPr>
      </w:pPr>
      <w:r w:rsidRPr="00DD2507">
        <w:rPr>
          <w:rFonts w:ascii="Arial" w:hAnsi="Arial" w:cs="Arial"/>
          <w:bCs/>
          <w:sz w:val="22"/>
          <w:szCs w:val="22"/>
        </w:rPr>
        <w:t>Topcon was also invited to exhibit its innovations that address the global infrastructure dilemma in the SAPPHIRE NOW showcase.</w:t>
      </w:r>
      <w:r w:rsidRPr="00DD2507">
        <w:rPr>
          <w:rFonts w:ascii="Arial" w:hAnsi="Arial" w:cs="Arial" w:hint="eastAsia"/>
          <w:bCs/>
          <w:sz w:val="22"/>
          <w:szCs w:val="22"/>
        </w:rPr>
        <w:t xml:space="preserve"> To learn more, visit us on the </w:t>
      </w:r>
      <w:hyperlink r:id="rId9" w:history="1">
        <w:r w:rsidRPr="00DD2507">
          <w:rPr>
            <w:rStyle w:val="Hyperlink"/>
            <w:rFonts w:ascii="Arial" w:hAnsi="Arial" w:cs="Arial" w:hint="eastAsia"/>
            <w:bCs/>
            <w:sz w:val="22"/>
            <w:szCs w:val="22"/>
          </w:rPr>
          <w:t>SAPPHIRE NOW showroom floor, in the Digital Core neighborhood</w:t>
        </w:r>
      </w:hyperlink>
      <w:r w:rsidRPr="00DD2507">
        <w:rPr>
          <w:rFonts w:ascii="Arial" w:hAnsi="Arial" w:cs="Arial" w:hint="eastAsia"/>
          <w:bCs/>
          <w:sz w:val="22"/>
          <w:szCs w:val="22"/>
        </w:rPr>
        <w:t>.</w:t>
      </w:r>
    </w:p>
    <w:p w14:paraId="0E06B546" w14:textId="77777777" w:rsidR="00DD2507" w:rsidRPr="00DD2507" w:rsidRDefault="00DD2507" w:rsidP="00DD2507">
      <w:pPr>
        <w:rPr>
          <w:rFonts w:ascii="Arial" w:hAnsi="Arial" w:cs="Arial"/>
          <w:bCs/>
          <w:sz w:val="22"/>
          <w:szCs w:val="22"/>
        </w:rPr>
      </w:pPr>
    </w:p>
    <w:p w14:paraId="3264F07C" w14:textId="77777777" w:rsidR="00DD2507" w:rsidRPr="00DD2507" w:rsidRDefault="00DD2507" w:rsidP="00DD2507">
      <w:pPr>
        <w:rPr>
          <w:rFonts w:ascii="Arial" w:hAnsi="Arial" w:cs="Arial"/>
          <w:sz w:val="22"/>
          <w:szCs w:val="22"/>
        </w:rPr>
      </w:pPr>
      <w:r w:rsidRPr="00DD2507">
        <w:rPr>
          <w:rFonts w:ascii="Arial" w:hAnsi="Arial" w:cs="Arial"/>
          <w:sz w:val="22"/>
          <w:szCs w:val="22"/>
        </w:rPr>
        <w:t xml:space="preserve">For information about Topcon, visit at </w:t>
      </w:r>
      <w:hyperlink r:id="rId10" w:history="1">
        <w:r w:rsidRPr="00DD2507">
          <w:rPr>
            <w:rStyle w:val="Hyperlink"/>
            <w:rFonts w:ascii="Arial" w:hAnsi="Arial" w:cs="Arial"/>
            <w:sz w:val="22"/>
            <w:szCs w:val="22"/>
          </w:rPr>
          <w:t>topconpositioning.com</w:t>
        </w:r>
      </w:hyperlink>
      <w:r w:rsidRPr="00DD2507">
        <w:rPr>
          <w:rFonts w:ascii="Arial" w:hAnsi="Arial" w:cs="Arial"/>
          <w:sz w:val="22"/>
          <w:szCs w:val="22"/>
        </w:rPr>
        <w:t>, always one step ahead in technology and customer benefits.</w:t>
      </w:r>
    </w:p>
    <w:p w14:paraId="18909F77" w14:textId="5C07BB29" w:rsidR="00554D85" w:rsidRPr="00DD2507" w:rsidRDefault="00554D85" w:rsidP="00DD2507">
      <w:pPr>
        <w:rPr>
          <w:rFonts w:ascii="Arial" w:hAnsi="Arial" w:cs="Arial"/>
          <w:bCs/>
          <w:sz w:val="16"/>
          <w:szCs w:val="20"/>
          <w:lang w:val="en-AU"/>
        </w:rPr>
      </w:pPr>
    </w:p>
    <w:p w14:paraId="7A225619" w14:textId="15468476" w:rsidR="00F64C2D" w:rsidRPr="00DD2507" w:rsidRDefault="003A1037" w:rsidP="00554D85">
      <w:pPr>
        <w:rPr>
          <w:rFonts w:ascii="Arial" w:hAnsi="Arial" w:cs="Arial"/>
          <w:bCs/>
          <w:color w:val="808080" w:themeColor="background1" w:themeShade="80"/>
          <w:sz w:val="10"/>
          <w:szCs w:val="16"/>
        </w:rPr>
      </w:pPr>
      <w:r w:rsidRPr="00DD2507">
        <w:rPr>
          <w:rFonts w:ascii="Arial" w:hAnsi="Arial" w:cs="Arial"/>
          <w:b/>
          <w:color w:val="808080" w:themeColor="background1" w:themeShade="80"/>
          <w:sz w:val="10"/>
          <w:szCs w:val="16"/>
        </w:rPr>
        <w:t xml:space="preserve">About Topcon Positioning Group </w:t>
      </w:r>
      <w:r w:rsidR="00F61E29" w:rsidRPr="00DD2507">
        <w:rPr>
          <w:rFonts w:ascii="Arial" w:hAnsi="Arial" w:cs="Arial"/>
          <w:b/>
          <w:color w:val="808080" w:themeColor="background1" w:themeShade="80"/>
          <w:sz w:val="10"/>
          <w:szCs w:val="16"/>
        </w:rPr>
        <w:br/>
      </w:r>
      <w:r w:rsidR="00DD2507" w:rsidRPr="00DD2507">
        <w:rPr>
          <w:rFonts w:ascii="Arial" w:hAnsi="Arial" w:cs="Arial"/>
          <w:bCs/>
          <w:color w:val="808080" w:themeColor="background1" w:themeShade="80"/>
          <w:sz w:val="10"/>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1" w:history="1">
        <w:r w:rsidR="00DD2507" w:rsidRPr="00DD2507">
          <w:rPr>
            <w:rStyle w:val="Hyperlink"/>
            <w:rFonts w:ascii="Arial" w:hAnsi="Arial" w:cs="Arial"/>
            <w:bCs/>
            <w:sz w:val="10"/>
            <w:szCs w:val="16"/>
          </w:rPr>
          <w:t>topconpositioning.com</w:t>
        </w:r>
      </w:hyperlink>
      <w:r w:rsidR="00DD2507" w:rsidRPr="00DD2507">
        <w:rPr>
          <w:rFonts w:ascii="Arial" w:hAnsi="Arial" w:cs="Arial"/>
          <w:bCs/>
          <w:color w:val="808080" w:themeColor="background1" w:themeShade="80"/>
          <w:sz w:val="10"/>
          <w:szCs w:val="16"/>
        </w:rPr>
        <w:t xml:space="preserve">, </w:t>
      </w:r>
      <w:hyperlink r:id="rId12" w:history="1">
        <w:r w:rsidR="00DD2507" w:rsidRPr="00DD2507">
          <w:rPr>
            <w:rStyle w:val="Hyperlink"/>
            <w:rFonts w:ascii="Arial" w:hAnsi="Arial" w:cs="Arial"/>
            <w:bCs/>
            <w:sz w:val="10"/>
            <w:szCs w:val="16"/>
          </w:rPr>
          <w:t>LinkedIn</w:t>
        </w:r>
      </w:hyperlink>
      <w:r w:rsidR="00DD2507" w:rsidRPr="00DD2507">
        <w:rPr>
          <w:rFonts w:ascii="Arial" w:hAnsi="Arial" w:cs="Arial"/>
          <w:bCs/>
          <w:color w:val="808080" w:themeColor="background1" w:themeShade="80"/>
          <w:sz w:val="10"/>
          <w:szCs w:val="16"/>
        </w:rPr>
        <w:t xml:space="preserve">, </w:t>
      </w:r>
      <w:hyperlink r:id="rId13" w:history="1">
        <w:r w:rsidR="00DD2507" w:rsidRPr="00DD2507">
          <w:rPr>
            <w:rStyle w:val="Hyperlink"/>
            <w:rFonts w:ascii="Arial" w:hAnsi="Arial" w:cs="Arial"/>
            <w:bCs/>
            <w:sz w:val="10"/>
            <w:szCs w:val="16"/>
          </w:rPr>
          <w:t>Twitter</w:t>
        </w:r>
      </w:hyperlink>
      <w:r w:rsidR="00DD2507" w:rsidRPr="00DD2507">
        <w:rPr>
          <w:rFonts w:ascii="Arial" w:hAnsi="Arial" w:cs="Arial"/>
          <w:bCs/>
          <w:color w:val="808080" w:themeColor="background1" w:themeShade="80"/>
          <w:sz w:val="10"/>
          <w:szCs w:val="16"/>
        </w:rPr>
        <w:t xml:space="preserve">, </w:t>
      </w:r>
      <w:hyperlink r:id="rId14" w:history="1">
        <w:r w:rsidR="00DD2507" w:rsidRPr="00DD2507">
          <w:rPr>
            <w:rStyle w:val="Hyperlink"/>
            <w:rFonts w:ascii="Arial" w:hAnsi="Arial" w:cs="Arial"/>
            <w:bCs/>
            <w:sz w:val="10"/>
            <w:szCs w:val="16"/>
          </w:rPr>
          <w:t>Facebook</w:t>
        </w:r>
      </w:hyperlink>
      <w:r w:rsidR="00DD2507" w:rsidRPr="00DD2507">
        <w:rPr>
          <w:rFonts w:ascii="Arial" w:hAnsi="Arial" w:cs="Arial"/>
          <w:bCs/>
          <w:color w:val="808080" w:themeColor="background1" w:themeShade="80"/>
          <w:sz w:val="10"/>
          <w:szCs w:val="16"/>
        </w:rPr>
        <w:t xml:space="preserve">). Its European head office is in </w:t>
      </w:r>
      <w:proofErr w:type="spellStart"/>
      <w:r w:rsidR="00DD2507" w:rsidRPr="00DD2507">
        <w:rPr>
          <w:rFonts w:ascii="Arial" w:hAnsi="Arial" w:cs="Arial"/>
          <w:bCs/>
          <w:color w:val="808080" w:themeColor="background1" w:themeShade="80"/>
          <w:sz w:val="10"/>
          <w:szCs w:val="16"/>
        </w:rPr>
        <w:t>Capelle</w:t>
      </w:r>
      <w:proofErr w:type="spellEnd"/>
      <w:r w:rsidR="00DD2507" w:rsidRPr="00DD2507">
        <w:rPr>
          <w:rFonts w:ascii="Arial" w:hAnsi="Arial" w:cs="Arial"/>
          <w:bCs/>
          <w:color w:val="808080" w:themeColor="background1" w:themeShade="80"/>
          <w:sz w:val="10"/>
          <w:szCs w:val="16"/>
        </w:rPr>
        <w:t xml:space="preserve"> </w:t>
      </w:r>
      <w:proofErr w:type="spellStart"/>
      <w:r w:rsidR="00DD2507" w:rsidRPr="00DD2507">
        <w:rPr>
          <w:rFonts w:ascii="Arial" w:hAnsi="Arial" w:cs="Arial"/>
          <w:bCs/>
          <w:color w:val="808080" w:themeColor="background1" w:themeShade="80"/>
          <w:sz w:val="10"/>
          <w:szCs w:val="16"/>
        </w:rPr>
        <w:t>a/d</w:t>
      </w:r>
      <w:proofErr w:type="spellEnd"/>
      <w:r w:rsidR="00DD2507" w:rsidRPr="00DD2507">
        <w:rPr>
          <w:rFonts w:ascii="Arial" w:hAnsi="Arial" w:cs="Arial"/>
          <w:bCs/>
          <w:color w:val="808080" w:themeColor="background1" w:themeShade="80"/>
          <w:sz w:val="10"/>
          <w:szCs w:val="16"/>
        </w:rPr>
        <w:t xml:space="preserve"> </w:t>
      </w:r>
      <w:proofErr w:type="spellStart"/>
      <w:r w:rsidR="00DD2507" w:rsidRPr="00DD2507">
        <w:rPr>
          <w:rFonts w:ascii="Arial" w:hAnsi="Arial" w:cs="Arial"/>
          <w:bCs/>
          <w:color w:val="808080" w:themeColor="background1" w:themeShade="80"/>
          <w:sz w:val="10"/>
          <w:szCs w:val="16"/>
        </w:rPr>
        <w:t>IJssel</w:t>
      </w:r>
      <w:proofErr w:type="spellEnd"/>
      <w:r w:rsidR="00DD2507" w:rsidRPr="00DD2507">
        <w:rPr>
          <w:rFonts w:ascii="Arial" w:hAnsi="Arial" w:cs="Arial"/>
          <w:bCs/>
          <w:color w:val="808080" w:themeColor="background1" w:themeShade="80"/>
          <w:sz w:val="10"/>
          <w:szCs w:val="16"/>
        </w:rPr>
        <w:t>, the Netherlands. Topcon Corporation (</w:t>
      </w:r>
      <w:hyperlink r:id="rId15" w:history="1">
        <w:r w:rsidR="00DD2507" w:rsidRPr="00DD2507">
          <w:rPr>
            <w:rStyle w:val="Hyperlink"/>
            <w:rFonts w:ascii="Arial" w:hAnsi="Arial" w:cs="Arial"/>
            <w:bCs/>
            <w:sz w:val="10"/>
            <w:szCs w:val="16"/>
          </w:rPr>
          <w:t>topcon.com</w:t>
        </w:r>
      </w:hyperlink>
      <w:r w:rsidR="00DD2507" w:rsidRPr="00DD2507">
        <w:rPr>
          <w:rFonts w:ascii="Arial" w:hAnsi="Arial" w:cs="Arial"/>
          <w:bCs/>
          <w:color w:val="808080" w:themeColor="background1" w:themeShade="80"/>
          <w:sz w:val="10"/>
          <w:szCs w:val="16"/>
        </w:rPr>
        <w:t>), founded in 1932, is traded on the Tokyo Stock Exchange (7732). </w:t>
      </w:r>
    </w:p>
    <w:p w14:paraId="37C2B320" w14:textId="54206728" w:rsidR="002078F0" w:rsidRPr="00DD2507" w:rsidRDefault="002078F0" w:rsidP="00360FCE">
      <w:pPr>
        <w:rPr>
          <w:rFonts w:ascii="Arial" w:hAnsi="Arial" w:cs="Arial"/>
          <w:color w:val="808080" w:themeColor="background1" w:themeShade="80"/>
          <w:sz w:val="10"/>
          <w:szCs w:val="16"/>
        </w:rPr>
      </w:pPr>
    </w:p>
    <w:p w14:paraId="435E9F5A" w14:textId="4D546FD1" w:rsidR="002078F0" w:rsidRPr="00DD2507" w:rsidRDefault="00F61E29" w:rsidP="00DD2507">
      <w:pPr>
        <w:jc w:val="center"/>
        <w:rPr>
          <w:rFonts w:ascii="Arial" w:hAnsi="Arial" w:cs="Arial"/>
          <w:color w:val="808080" w:themeColor="background1" w:themeShade="80"/>
          <w:sz w:val="10"/>
          <w:szCs w:val="16"/>
        </w:rPr>
      </w:pPr>
      <w:r w:rsidRPr="00DD2507">
        <w:rPr>
          <w:rFonts w:ascii="Arial" w:hAnsi="Arial" w:cs="Arial"/>
          <w:color w:val="808080" w:themeColor="background1" w:themeShade="80"/>
          <w:sz w:val="10"/>
          <w:szCs w:val="16"/>
        </w:rPr>
        <w:t># # #</w:t>
      </w:r>
    </w:p>
    <w:p w14:paraId="56D02AFB" w14:textId="77777777" w:rsidR="00F61E29" w:rsidRPr="00DD2507" w:rsidRDefault="00F61E29" w:rsidP="00F61E29">
      <w:pPr>
        <w:outlineLvl w:val="0"/>
        <w:rPr>
          <w:rFonts w:ascii="Arial" w:hAnsi="Arial" w:cs="Arial"/>
          <w:b/>
          <w:color w:val="808080" w:themeColor="background1" w:themeShade="80"/>
          <w:sz w:val="10"/>
          <w:szCs w:val="16"/>
        </w:rPr>
      </w:pPr>
      <w:r w:rsidRPr="00DD2507">
        <w:rPr>
          <w:rFonts w:ascii="Arial" w:hAnsi="Arial" w:cs="Arial"/>
          <w:b/>
          <w:color w:val="808080" w:themeColor="background1" w:themeShade="80"/>
          <w:sz w:val="10"/>
          <w:szCs w:val="16"/>
        </w:rPr>
        <w:t xml:space="preserve">Press Contact: </w:t>
      </w:r>
    </w:p>
    <w:p w14:paraId="0B0DC8C3" w14:textId="77777777" w:rsidR="00F61E29" w:rsidRPr="00DD2507" w:rsidRDefault="00F61E29" w:rsidP="00F61E29">
      <w:pPr>
        <w:outlineLvl w:val="0"/>
        <w:rPr>
          <w:rFonts w:ascii="Arial" w:hAnsi="Arial" w:cs="Arial"/>
          <w:bCs/>
          <w:color w:val="808080" w:themeColor="background1" w:themeShade="80"/>
          <w:sz w:val="10"/>
          <w:szCs w:val="16"/>
        </w:rPr>
      </w:pPr>
      <w:r w:rsidRPr="00DD2507">
        <w:rPr>
          <w:rFonts w:ascii="Arial" w:hAnsi="Arial" w:cs="Arial"/>
          <w:bCs/>
          <w:color w:val="808080" w:themeColor="background1" w:themeShade="80"/>
          <w:sz w:val="10"/>
          <w:szCs w:val="16"/>
        </w:rPr>
        <w:t>Topcon Positioning Group</w:t>
      </w:r>
    </w:p>
    <w:p w14:paraId="2ADB91B2" w14:textId="77777777" w:rsidR="00F61E29" w:rsidRPr="00DD2507" w:rsidRDefault="00427BDE" w:rsidP="00F61E29">
      <w:pPr>
        <w:outlineLvl w:val="0"/>
        <w:rPr>
          <w:rFonts w:ascii="Arial" w:hAnsi="Arial" w:cs="Arial"/>
          <w:bCs/>
          <w:color w:val="808080" w:themeColor="background1" w:themeShade="80"/>
          <w:sz w:val="10"/>
          <w:szCs w:val="16"/>
          <w:lang w:val="it-IT"/>
        </w:rPr>
      </w:pPr>
      <w:hyperlink r:id="rId16" w:history="1">
        <w:r w:rsidR="00F61E29" w:rsidRPr="00DD2507">
          <w:rPr>
            <w:rStyle w:val="Hyperlink"/>
            <w:rFonts w:ascii="Arial" w:hAnsi="Arial" w:cs="Arial"/>
            <w:bCs/>
            <w:color w:val="808080" w:themeColor="background1" w:themeShade="80"/>
            <w:sz w:val="10"/>
            <w:szCs w:val="16"/>
            <w:lang w:val="it-IT"/>
          </w:rPr>
          <w:t>CorpComm@topcon.com</w:t>
        </w:r>
      </w:hyperlink>
    </w:p>
    <w:p w14:paraId="22244F9C" w14:textId="5754A301" w:rsidR="00BE666D" w:rsidRPr="00DD2507" w:rsidRDefault="00FD1C0E" w:rsidP="00FD1C0E">
      <w:pPr>
        <w:outlineLvl w:val="0"/>
        <w:rPr>
          <w:rFonts w:ascii="Arial" w:hAnsi="Arial" w:cs="Arial"/>
          <w:bCs/>
          <w:color w:val="808080" w:themeColor="background1" w:themeShade="80"/>
          <w:sz w:val="10"/>
          <w:szCs w:val="16"/>
        </w:rPr>
      </w:pPr>
      <w:r w:rsidRPr="00DD2507">
        <w:rPr>
          <w:rFonts w:ascii="Arial" w:hAnsi="Arial" w:cs="Arial"/>
          <w:bCs/>
          <w:color w:val="808080" w:themeColor="background1" w:themeShade="80"/>
          <w:sz w:val="10"/>
          <w:szCs w:val="16"/>
        </w:rPr>
        <w:t>Sta</w:t>
      </w:r>
      <w:r w:rsidR="00E54648" w:rsidRPr="00DD2507">
        <w:rPr>
          <w:rFonts w:ascii="Arial" w:hAnsi="Arial" w:cs="Arial"/>
          <w:bCs/>
          <w:color w:val="808080" w:themeColor="background1" w:themeShade="80"/>
          <w:sz w:val="10"/>
          <w:szCs w:val="16"/>
        </w:rPr>
        <w:t xml:space="preserve">ci Fitzgerald, +1 925-245-8610 </w:t>
      </w:r>
    </w:p>
    <w:sectPr w:rsidR="00BE666D" w:rsidRPr="00DD2507" w:rsidSect="009C7717">
      <w:headerReference w:type="first" r:id="rId17"/>
      <w:pgSz w:w="12240" w:h="15840"/>
      <w:pgMar w:top="1440" w:right="1440" w:bottom="72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7C553" w14:textId="77777777" w:rsidR="00427BDE" w:rsidRDefault="00427BDE">
      <w:r>
        <w:separator/>
      </w:r>
    </w:p>
  </w:endnote>
  <w:endnote w:type="continuationSeparator" w:id="0">
    <w:p w14:paraId="53A0DBF6" w14:textId="77777777" w:rsidR="00427BDE" w:rsidRDefault="00427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0A0A1" w14:textId="77777777" w:rsidR="00427BDE" w:rsidRDefault="00427BDE">
      <w:r>
        <w:separator/>
      </w:r>
    </w:p>
  </w:footnote>
  <w:footnote w:type="continuationSeparator" w:id="0">
    <w:p w14:paraId="14A81650" w14:textId="77777777" w:rsidR="00427BDE" w:rsidRDefault="00427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E5B"/>
    <w:rsid w:val="00006C61"/>
    <w:rsid w:val="0001184B"/>
    <w:rsid w:val="00022A22"/>
    <w:rsid w:val="00041628"/>
    <w:rsid w:val="000418C2"/>
    <w:rsid w:val="000451B1"/>
    <w:rsid w:val="00073328"/>
    <w:rsid w:val="000872FF"/>
    <w:rsid w:val="0009234C"/>
    <w:rsid w:val="00096B9D"/>
    <w:rsid w:val="000A2264"/>
    <w:rsid w:val="000B5413"/>
    <w:rsid w:val="000C3C4C"/>
    <w:rsid w:val="000C6429"/>
    <w:rsid w:val="000D117E"/>
    <w:rsid w:val="000E7CE4"/>
    <w:rsid w:val="0010107F"/>
    <w:rsid w:val="001010F9"/>
    <w:rsid w:val="00105D3C"/>
    <w:rsid w:val="001269F8"/>
    <w:rsid w:val="00130BEA"/>
    <w:rsid w:val="00163F32"/>
    <w:rsid w:val="00177523"/>
    <w:rsid w:val="001828F4"/>
    <w:rsid w:val="001855FB"/>
    <w:rsid w:val="00195E40"/>
    <w:rsid w:val="001A276A"/>
    <w:rsid w:val="001A4E5B"/>
    <w:rsid w:val="001A5950"/>
    <w:rsid w:val="001B2F57"/>
    <w:rsid w:val="001B6BA0"/>
    <w:rsid w:val="001D47AE"/>
    <w:rsid w:val="001D71E9"/>
    <w:rsid w:val="001E495F"/>
    <w:rsid w:val="002078F0"/>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373B3"/>
    <w:rsid w:val="00340920"/>
    <w:rsid w:val="00346AEA"/>
    <w:rsid w:val="003507A9"/>
    <w:rsid w:val="00353911"/>
    <w:rsid w:val="00355294"/>
    <w:rsid w:val="00360FCE"/>
    <w:rsid w:val="003801D4"/>
    <w:rsid w:val="0038352E"/>
    <w:rsid w:val="00384598"/>
    <w:rsid w:val="0039761D"/>
    <w:rsid w:val="003A1037"/>
    <w:rsid w:val="003A6C06"/>
    <w:rsid w:val="003A7243"/>
    <w:rsid w:val="003B160D"/>
    <w:rsid w:val="003B1941"/>
    <w:rsid w:val="003B200E"/>
    <w:rsid w:val="003B4135"/>
    <w:rsid w:val="003C3E10"/>
    <w:rsid w:val="003C6648"/>
    <w:rsid w:val="003F134C"/>
    <w:rsid w:val="003F5E34"/>
    <w:rsid w:val="00405B29"/>
    <w:rsid w:val="00412292"/>
    <w:rsid w:val="00413E95"/>
    <w:rsid w:val="00416269"/>
    <w:rsid w:val="004257E1"/>
    <w:rsid w:val="00427BDE"/>
    <w:rsid w:val="0043387D"/>
    <w:rsid w:val="00433A38"/>
    <w:rsid w:val="00452AC9"/>
    <w:rsid w:val="0046547D"/>
    <w:rsid w:val="00471166"/>
    <w:rsid w:val="00482A23"/>
    <w:rsid w:val="00486106"/>
    <w:rsid w:val="00494F00"/>
    <w:rsid w:val="004A208E"/>
    <w:rsid w:val="004B7B79"/>
    <w:rsid w:val="004C2A52"/>
    <w:rsid w:val="004C4705"/>
    <w:rsid w:val="004C77DD"/>
    <w:rsid w:val="004C7DC9"/>
    <w:rsid w:val="004D399D"/>
    <w:rsid w:val="004E03C4"/>
    <w:rsid w:val="004E7280"/>
    <w:rsid w:val="004F0BDC"/>
    <w:rsid w:val="00513E5B"/>
    <w:rsid w:val="00524D07"/>
    <w:rsid w:val="00527B70"/>
    <w:rsid w:val="005330B7"/>
    <w:rsid w:val="005378E1"/>
    <w:rsid w:val="005502C7"/>
    <w:rsid w:val="00554D85"/>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746B1"/>
    <w:rsid w:val="006926B3"/>
    <w:rsid w:val="006A0908"/>
    <w:rsid w:val="006B2A9A"/>
    <w:rsid w:val="006B35F4"/>
    <w:rsid w:val="006C6B2E"/>
    <w:rsid w:val="006D3CF8"/>
    <w:rsid w:val="006E05C2"/>
    <w:rsid w:val="006E2F31"/>
    <w:rsid w:val="006E5194"/>
    <w:rsid w:val="006F2B49"/>
    <w:rsid w:val="0071332E"/>
    <w:rsid w:val="00726BAA"/>
    <w:rsid w:val="007530F6"/>
    <w:rsid w:val="00756005"/>
    <w:rsid w:val="007605FA"/>
    <w:rsid w:val="00762035"/>
    <w:rsid w:val="00765F8C"/>
    <w:rsid w:val="00773A4C"/>
    <w:rsid w:val="0078639E"/>
    <w:rsid w:val="00790F45"/>
    <w:rsid w:val="007A7226"/>
    <w:rsid w:val="007B0EFE"/>
    <w:rsid w:val="007B2ADF"/>
    <w:rsid w:val="007B3233"/>
    <w:rsid w:val="007C481B"/>
    <w:rsid w:val="007C5005"/>
    <w:rsid w:val="007D26FD"/>
    <w:rsid w:val="007E23BF"/>
    <w:rsid w:val="007F4506"/>
    <w:rsid w:val="00810DE0"/>
    <w:rsid w:val="00813858"/>
    <w:rsid w:val="008141F4"/>
    <w:rsid w:val="00827142"/>
    <w:rsid w:val="00832E9A"/>
    <w:rsid w:val="008469A0"/>
    <w:rsid w:val="00846CEF"/>
    <w:rsid w:val="00853C9A"/>
    <w:rsid w:val="008675F7"/>
    <w:rsid w:val="008702B4"/>
    <w:rsid w:val="00870D37"/>
    <w:rsid w:val="008802C4"/>
    <w:rsid w:val="00882DC6"/>
    <w:rsid w:val="00891FF7"/>
    <w:rsid w:val="008962D4"/>
    <w:rsid w:val="008A2019"/>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B59CD"/>
    <w:rsid w:val="009C3261"/>
    <w:rsid w:val="009C7717"/>
    <w:rsid w:val="009E2FE3"/>
    <w:rsid w:val="00A06D66"/>
    <w:rsid w:val="00A12AD1"/>
    <w:rsid w:val="00A276D5"/>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84AD7"/>
    <w:rsid w:val="00B92736"/>
    <w:rsid w:val="00B92C56"/>
    <w:rsid w:val="00B92CFE"/>
    <w:rsid w:val="00BA6826"/>
    <w:rsid w:val="00BB19B5"/>
    <w:rsid w:val="00BB25D3"/>
    <w:rsid w:val="00BB4455"/>
    <w:rsid w:val="00BB78BB"/>
    <w:rsid w:val="00BC071E"/>
    <w:rsid w:val="00BC4421"/>
    <w:rsid w:val="00BC6358"/>
    <w:rsid w:val="00BC69B3"/>
    <w:rsid w:val="00BD46EA"/>
    <w:rsid w:val="00BD71D0"/>
    <w:rsid w:val="00BE5DE2"/>
    <w:rsid w:val="00BE666D"/>
    <w:rsid w:val="00BF1DD5"/>
    <w:rsid w:val="00BF37F1"/>
    <w:rsid w:val="00C01690"/>
    <w:rsid w:val="00C01952"/>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C164E"/>
    <w:rsid w:val="00CD3455"/>
    <w:rsid w:val="00CE188F"/>
    <w:rsid w:val="00CE7843"/>
    <w:rsid w:val="00CF403B"/>
    <w:rsid w:val="00CF7FC5"/>
    <w:rsid w:val="00D0574B"/>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D2507"/>
    <w:rsid w:val="00DE055B"/>
    <w:rsid w:val="00DF026C"/>
    <w:rsid w:val="00DF41BF"/>
    <w:rsid w:val="00E064C3"/>
    <w:rsid w:val="00E07393"/>
    <w:rsid w:val="00E07F73"/>
    <w:rsid w:val="00E11947"/>
    <w:rsid w:val="00E16158"/>
    <w:rsid w:val="00E32B47"/>
    <w:rsid w:val="00E54648"/>
    <w:rsid w:val="00E74974"/>
    <w:rsid w:val="00E95EFF"/>
    <w:rsid w:val="00EA49B1"/>
    <w:rsid w:val="00EB1000"/>
    <w:rsid w:val="00EC3044"/>
    <w:rsid w:val="00EC60E2"/>
    <w:rsid w:val="00ED70D3"/>
    <w:rsid w:val="00EE1C16"/>
    <w:rsid w:val="00EE24FF"/>
    <w:rsid w:val="00EE33D2"/>
    <w:rsid w:val="00EF4409"/>
    <w:rsid w:val="00F126AE"/>
    <w:rsid w:val="00F20CD6"/>
    <w:rsid w:val="00F25765"/>
    <w:rsid w:val="00F45907"/>
    <w:rsid w:val="00F463E2"/>
    <w:rsid w:val="00F55F20"/>
    <w:rsid w:val="00F6101F"/>
    <w:rsid w:val="00F61E29"/>
    <w:rsid w:val="00F62C6C"/>
    <w:rsid w:val="00F64C2D"/>
    <w:rsid w:val="00F72011"/>
    <w:rsid w:val="00F757D3"/>
    <w:rsid w:val="00F81B4F"/>
    <w:rsid w:val="00F86B3B"/>
    <w:rsid w:val="00F92A38"/>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 w:val="00FE1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styleId="UnresolvedMention">
    <w:name w:val="Unresolved Mention"/>
    <w:basedOn w:val="DefaultParagraphFont"/>
    <w:uiPriority w:val="99"/>
    <w:rsid w:val="00F6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71508290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 w:id="21299310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ssioncatalog.sapevents.com/go/agendabuilder.sessions/?l=205&amp;sid=90733_500134&amp;locale=en_US" TargetMode="External"/><Relationship Id="rId13" Type="http://schemas.openxmlformats.org/officeDocument/2006/relationships/hyperlink" Target="https://twitter.com/topcon_toda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topcon-positioning-syste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CorpComm@topco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 TargetMode="External"/><Relationship Id="rId5" Type="http://schemas.openxmlformats.org/officeDocument/2006/relationships/webSettings" Target="webSettings.xml"/><Relationship Id="rId15" Type="http://schemas.openxmlformats.org/officeDocument/2006/relationships/hyperlink" Target="http://global.topcon.com/" TargetMode="External"/><Relationship Id="rId10" Type="http://schemas.openxmlformats.org/officeDocument/2006/relationships/hyperlink" Target="https://www.topconpositioning.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essioncatalog.sapevents.com/go/agendabuilder.sessions/?l=205&amp;sid=90939_0&amp;locale=en_US" TargetMode="Externa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D7B5C-148D-1040-883F-259B5FCA1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3848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4</cp:revision>
  <cp:lastPrinted>2015-08-13T12:52:00Z</cp:lastPrinted>
  <dcterms:created xsi:type="dcterms:W3CDTF">2019-05-03T16:05:00Z</dcterms:created>
  <dcterms:modified xsi:type="dcterms:W3CDTF">2019-05-03T16:10:00Z</dcterms:modified>
  <cp:category/>
</cp:coreProperties>
</file>